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3357AD">
      <w:pPr>
        <w:spacing w:before="640" w:after="560" w:line="460" w:lineRule="exact"/>
        <w:jc w:val="center"/>
        <w:rPr>
          <w:b/>
          <w:bCs/>
          <w:color w:val="auto"/>
          <w:sz w:val="36"/>
          <w:szCs w:val="36"/>
        </w:rPr>
      </w:pPr>
      <w:r>
        <w:rPr>
          <w:rFonts w:hint="eastAsia"/>
          <w:b/>
          <w:bCs/>
          <w:color w:val="auto"/>
          <w:sz w:val="36"/>
          <w:szCs w:val="36"/>
        </w:rPr>
        <w:t>《半枫荷培育技术规程》地方标准编制说明</w:t>
      </w:r>
    </w:p>
    <w:p w14:paraId="13B77087">
      <w:pPr>
        <w:ind w:firstLine="640" w:firstLineChars="200"/>
        <w:rPr>
          <w:rFonts w:eastAsia="仿宋_GB2312"/>
          <w:color w:val="auto"/>
          <w:sz w:val="32"/>
          <w:szCs w:val="32"/>
        </w:rPr>
      </w:pPr>
      <w:r>
        <w:rPr>
          <w:rFonts w:hint="eastAsia" w:eastAsia="黑体"/>
          <w:color w:val="auto"/>
          <w:sz w:val="32"/>
          <w:szCs w:val="32"/>
        </w:rPr>
        <w:t>一、工作简况</w:t>
      </w:r>
      <w:bookmarkStart w:id="1" w:name="_GoBack"/>
      <w:bookmarkEnd w:id="1"/>
    </w:p>
    <w:p w14:paraId="7F649513">
      <w:pPr>
        <w:ind w:firstLine="640" w:firstLineChars="200"/>
        <w:rPr>
          <w:rFonts w:eastAsia="楷体_GB2312"/>
          <w:color w:val="auto"/>
          <w:sz w:val="32"/>
          <w:szCs w:val="32"/>
        </w:rPr>
      </w:pPr>
      <w:r>
        <w:rPr>
          <w:rFonts w:hint="eastAsia" w:eastAsia="楷体"/>
          <w:color w:val="auto"/>
          <w:sz w:val="32"/>
          <w:szCs w:val="32"/>
        </w:rPr>
        <w:t>（</w:t>
      </w:r>
      <w:r>
        <w:rPr>
          <w:rFonts w:hint="eastAsia" w:eastAsia="楷体_GB2312"/>
          <w:color w:val="auto"/>
          <w:sz w:val="32"/>
          <w:szCs w:val="32"/>
        </w:rPr>
        <w:t>一）任务来源</w:t>
      </w:r>
    </w:p>
    <w:p w14:paraId="50B7F648">
      <w:pPr>
        <w:ind w:firstLine="640" w:firstLineChars="200"/>
        <w:rPr>
          <w:rFonts w:eastAsia="仿宋_GB2312"/>
          <w:bCs/>
          <w:color w:val="auto"/>
          <w:sz w:val="32"/>
          <w:szCs w:val="32"/>
        </w:rPr>
      </w:pPr>
      <w:r>
        <w:rPr>
          <w:rFonts w:hint="eastAsia" w:eastAsia="仿宋_GB2312"/>
          <w:color w:val="auto"/>
          <w:sz w:val="32"/>
          <w:szCs w:val="32"/>
        </w:rPr>
        <w:t>按照江西省林业局关于印发《江西省林业地方标准体系建设工作安排》的通知（赣林函字〔</w:t>
      </w:r>
      <w:r>
        <w:rPr>
          <w:rFonts w:eastAsia="仿宋_GB2312"/>
          <w:color w:val="auto"/>
          <w:sz w:val="32"/>
          <w:szCs w:val="32"/>
        </w:rPr>
        <w:t>2023</w:t>
      </w:r>
      <w:r>
        <w:rPr>
          <w:rFonts w:hint="eastAsia" w:eastAsia="仿宋_GB2312"/>
          <w:color w:val="auto"/>
          <w:sz w:val="32"/>
          <w:szCs w:val="32"/>
        </w:rPr>
        <w:t>〕</w:t>
      </w:r>
      <w:r>
        <w:rPr>
          <w:rFonts w:eastAsia="仿宋_GB2312"/>
          <w:color w:val="auto"/>
          <w:sz w:val="32"/>
          <w:szCs w:val="32"/>
        </w:rPr>
        <w:t xml:space="preserve">112 </w:t>
      </w:r>
      <w:r>
        <w:rPr>
          <w:rFonts w:hint="eastAsia" w:eastAsia="仿宋_GB2312"/>
          <w:color w:val="auto"/>
          <w:sz w:val="32"/>
          <w:szCs w:val="32"/>
        </w:rPr>
        <w:t>号）文件要求，</w:t>
      </w:r>
      <w:r>
        <w:rPr>
          <w:rFonts w:hint="eastAsia" w:eastAsia="仿宋_GB2312"/>
          <w:bCs/>
          <w:color w:val="auto"/>
          <w:sz w:val="32"/>
          <w:szCs w:val="32"/>
        </w:rPr>
        <w:t>启动《半枫荷培育技术规程》地方标准的制定工作。</w:t>
      </w:r>
    </w:p>
    <w:p w14:paraId="3C701614">
      <w:pPr>
        <w:ind w:firstLine="640" w:firstLineChars="200"/>
        <w:rPr>
          <w:rFonts w:eastAsia="楷体_GB2312"/>
          <w:color w:val="auto"/>
          <w:sz w:val="32"/>
          <w:szCs w:val="32"/>
        </w:rPr>
      </w:pPr>
      <w:r>
        <w:rPr>
          <w:rFonts w:hint="eastAsia" w:eastAsia="楷体_GB2312"/>
          <w:color w:val="auto"/>
          <w:sz w:val="32"/>
          <w:szCs w:val="32"/>
        </w:rPr>
        <w:t>（二）起草单位</w:t>
      </w:r>
    </w:p>
    <w:p w14:paraId="330BC2A6">
      <w:pPr>
        <w:ind w:firstLine="640" w:firstLineChars="200"/>
        <w:rPr>
          <w:rFonts w:eastAsia="仿宋_GB2312"/>
          <w:color w:val="auto"/>
          <w:sz w:val="32"/>
          <w:szCs w:val="32"/>
        </w:rPr>
      </w:pPr>
      <w:r>
        <w:rPr>
          <w:rFonts w:hint="eastAsia" w:eastAsia="仿宋_GB2312"/>
          <w:color w:val="auto"/>
          <w:sz w:val="32"/>
          <w:szCs w:val="32"/>
        </w:rPr>
        <w:t>江西环境工程职业学院、赣州市森源科技种苗场、信丰县金盆山林场</w:t>
      </w:r>
    </w:p>
    <w:p w14:paraId="65373BC9">
      <w:pPr>
        <w:ind w:firstLine="640" w:firstLineChars="200"/>
        <w:rPr>
          <w:rFonts w:eastAsia="楷体_GB2312"/>
          <w:color w:val="auto"/>
          <w:sz w:val="32"/>
          <w:szCs w:val="32"/>
        </w:rPr>
      </w:pPr>
      <w:r>
        <w:rPr>
          <w:rFonts w:hint="eastAsia" w:eastAsia="楷体_GB2312"/>
          <w:color w:val="auto"/>
          <w:sz w:val="32"/>
          <w:szCs w:val="32"/>
        </w:rPr>
        <w:t>（三）主要起草人</w:t>
      </w:r>
    </w:p>
    <w:tbl>
      <w:tblPr>
        <w:tblStyle w:val="15"/>
        <w:tblW w:w="92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9"/>
        <w:gridCol w:w="1107"/>
        <w:gridCol w:w="840"/>
        <w:gridCol w:w="1907"/>
        <w:gridCol w:w="3040"/>
        <w:gridCol w:w="1506"/>
      </w:tblGrid>
      <w:tr w14:paraId="06942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12FD73ED">
            <w:pPr>
              <w:jc w:val="center"/>
              <w:rPr>
                <w:rFonts w:eastAsia="仿宋_GB2312"/>
                <w:color w:val="auto"/>
                <w:sz w:val="28"/>
                <w:szCs w:val="28"/>
              </w:rPr>
            </w:pPr>
            <w:r>
              <w:rPr>
                <w:rFonts w:hint="eastAsia" w:eastAsia="仿宋_GB2312"/>
                <w:color w:val="auto"/>
                <w:sz w:val="28"/>
                <w:szCs w:val="28"/>
              </w:rPr>
              <w:t>序号</w:t>
            </w:r>
          </w:p>
        </w:tc>
        <w:tc>
          <w:tcPr>
            <w:tcW w:w="1107" w:type="dxa"/>
            <w:tcBorders>
              <w:top w:val="single" w:color="auto" w:sz="4" w:space="0"/>
              <w:left w:val="single" w:color="auto" w:sz="4" w:space="0"/>
              <w:bottom w:val="single" w:color="auto" w:sz="4" w:space="0"/>
              <w:right w:val="single" w:color="auto" w:sz="4" w:space="0"/>
            </w:tcBorders>
            <w:vAlign w:val="center"/>
          </w:tcPr>
          <w:p w14:paraId="2054FFC6">
            <w:pPr>
              <w:jc w:val="center"/>
              <w:rPr>
                <w:rFonts w:eastAsia="仿宋_GB2312"/>
                <w:color w:val="auto"/>
                <w:sz w:val="28"/>
                <w:szCs w:val="28"/>
              </w:rPr>
            </w:pPr>
            <w:r>
              <w:rPr>
                <w:rFonts w:hint="eastAsia" w:eastAsia="仿宋_GB2312"/>
                <w:color w:val="auto"/>
                <w:sz w:val="28"/>
                <w:szCs w:val="28"/>
              </w:rPr>
              <w:t>姓</w:t>
            </w:r>
            <w:r>
              <w:rPr>
                <w:rFonts w:eastAsia="仿宋_GB2312"/>
                <w:color w:val="auto"/>
                <w:sz w:val="28"/>
                <w:szCs w:val="28"/>
              </w:rPr>
              <w:t xml:space="preserve"> </w:t>
            </w:r>
            <w:r>
              <w:rPr>
                <w:rFonts w:hint="eastAsia" w:eastAsia="仿宋_GB2312"/>
                <w:color w:val="auto"/>
                <w:sz w:val="28"/>
                <w:szCs w:val="28"/>
              </w:rPr>
              <w:t>名</w:t>
            </w:r>
          </w:p>
        </w:tc>
        <w:tc>
          <w:tcPr>
            <w:tcW w:w="840" w:type="dxa"/>
            <w:tcBorders>
              <w:top w:val="single" w:color="auto" w:sz="4" w:space="0"/>
              <w:left w:val="single" w:color="auto" w:sz="4" w:space="0"/>
              <w:bottom w:val="single" w:color="auto" w:sz="4" w:space="0"/>
              <w:right w:val="single" w:color="auto" w:sz="4" w:space="0"/>
            </w:tcBorders>
            <w:vAlign w:val="center"/>
          </w:tcPr>
          <w:p w14:paraId="77E51D00">
            <w:pPr>
              <w:jc w:val="center"/>
              <w:rPr>
                <w:rFonts w:eastAsia="仿宋_GB2312"/>
                <w:color w:val="auto"/>
                <w:sz w:val="28"/>
                <w:szCs w:val="28"/>
              </w:rPr>
            </w:pPr>
            <w:r>
              <w:rPr>
                <w:rFonts w:hint="eastAsia" w:eastAsia="仿宋_GB2312"/>
                <w:color w:val="auto"/>
                <w:sz w:val="28"/>
                <w:szCs w:val="28"/>
              </w:rPr>
              <w:t>性别</w:t>
            </w:r>
          </w:p>
        </w:tc>
        <w:tc>
          <w:tcPr>
            <w:tcW w:w="1907" w:type="dxa"/>
            <w:tcBorders>
              <w:top w:val="single" w:color="auto" w:sz="4" w:space="0"/>
              <w:left w:val="single" w:color="auto" w:sz="4" w:space="0"/>
              <w:bottom w:val="single" w:color="auto" w:sz="4" w:space="0"/>
              <w:right w:val="single" w:color="auto" w:sz="4" w:space="0"/>
            </w:tcBorders>
            <w:vAlign w:val="center"/>
          </w:tcPr>
          <w:p w14:paraId="2B96938B">
            <w:pPr>
              <w:jc w:val="center"/>
              <w:rPr>
                <w:rFonts w:eastAsia="仿宋_GB2312"/>
                <w:color w:val="auto"/>
                <w:sz w:val="28"/>
                <w:szCs w:val="28"/>
              </w:rPr>
            </w:pPr>
            <w:r>
              <w:rPr>
                <w:rFonts w:hint="eastAsia" w:eastAsia="仿宋_GB2312"/>
                <w:color w:val="auto"/>
                <w:sz w:val="28"/>
                <w:szCs w:val="28"/>
              </w:rPr>
              <w:t>职务</w:t>
            </w:r>
            <w:r>
              <w:rPr>
                <w:rFonts w:eastAsia="仿宋_GB2312"/>
                <w:color w:val="auto"/>
                <w:sz w:val="28"/>
                <w:szCs w:val="28"/>
              </w:rPr>
              <w:t>/</w:t>
            </w:r>
            <w:r>
              <w:rPr>
                <w:rFonts w:hint="eastAsia" w:eastAsia="仿宋_GB2312"/>
                <w:color w:val="auto"/>
                <w:sz w:val="28"/>
                <w:szCs w:val="28"/>
              </w:rPr>
              <w:t>职称</w:t>
            </w:r>
          </w:p>
        </w:tc>
        <w:tc>
          <w:tcPr>
            <w:tcW w:w="3040" w:type="dxa"/>
            <w:tcBorders>
              <w:top w:val="single" w:color="auto" w:sz="4" w:space="0"/>
              <w:left w:val="single" w:color="auto" w:sz="4" w:space="0"/>
              <w:bottom w:val="single" w:color="auto" w:sz="4" w:space="0"/>
              <w:right w:val="single" w:color="auto" w:sz="4" w:space="0"/>
            </w:tcBorders>
            <w:vAlign w:val="center"/>
          </w:tcPr>
          <w:p w14:paraId="4AA70FCA">
            <w:pPr>
              <w:jc w:val="center"/>
              <w:rPr>
                <w:rFonts w:eastAsia="仿宋_GB2312"/>
                <w:color w:val="auto"/>
                <w:sz w:val="28"/>
                <w:szCs w:val="28"/>
              </w:rPr>
            </w:pPr>
            <w:r>
              <w:rPr>
                <w:rFonts w:hint="eastAsia" w:eastAsia="仿宋_GB2312"/>
                <w:color w:val="auto"/>
                <w:sz w:val="28"/>
                <w:szCs w:val="28"/>
              </w:rPr>
              <w:t>工作单位</w:t>
            </w:r>
          </w:p>
        </w:tc>
        <w:tc>
          <w:tcPr>
            <w:tcW w:w="1506" w:type="dxa"/>
            <w:tcBorders>
              <w:top w:val="single" w:color="auto" w:sz="4" w:space="0"/>
              <w:left w:val="single" w:color="auto" w:sz="4" w:space="0"/>
              <w:bottom w:val="single" w:color="auto" w:sz="4" w:space="0"/>
              <w:right w:val="single" w:color="auto" w:sz="4" w:space="0"/>
            </w:tcBorders>
            <w:vAlign w:val="center"/>
          </w:tcPr>
          <w:p w14:paraId="06159F7D">
            <w:pPr>
              <w:jc w:val="center"/>
              <w:rPr>
                <w:rFonts w:eastAsia="仿宋_GB2312"/>
                <w:color w:val="auto"/>
                <w:sz w:val="28"/>
                <w:szCs w:val="28"/>
              </w:rPr>
            </w:pPr>
            <w:r>
              <w:rPr>
                <w:rFonts w:hint="eastAsia" w:eastAsia="仿宋_GB2312"/>
                <w:color w:val="auto"/>
                <w:sz w:val="28"/>
                <w:szCs w:val="28"/>
              </w:rPr>
              <w:t>任务分工</w:t>
            </w:r>
          </w:p>
        </w:tc>
      </w:tr>
      <w:tr w14:paraId="10A88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9" w:type="dxa"/>
            <w:tcBorders>
              <w:top w:val="single" w:color="auto" w:sz="4" w:space="0"/>
              <w:left w:val="single" w:color="auto" w:sz="4" w:space="0"/>
              <w:bottom w:val="single" w:color="auto" w:sz="4" w:space="0"/>
              <w:right w:val="single" w:color="auto" w:sz="4" w:space="0"/>
            </w:tcBorders>
            <w:vAlign w:val="center"/>
          </w:tcPr>
          <w:p w14:paraId="7DEEA746">
            <w:pPr>
              <w:jc w:val="center"/>
              <w:rPr>
                <w:rFonts w:eastAsia="仿宋_GB2312"/>
                <w:color w:val="auto"/>
                <w:sz w:val="28"/>
                <w:szCs w:val="28"/>
              </w:rPr>
            </w:pPr>
            <w:r>
              <w:rPr>
                <w:rFonts w:eastAsia="仿宋_GB2312"/>
                <w:color w:val="auto"/>
                <w:sz w:val="28"/>
                <w:szCs w:val="28"/>
              </w:rPr>
              <w:t>1</w:t>
            </w:r>
          </w:p>
        </w:tc>
        <w:tc>
          <w:tcPr>
            <w:tcW w:w="1107" w:type="dxa"/>
            <w:tcBorders>
              <w:top w:val="single" w:color="auto" w:sz="4" w:space="0"/>
              <w:left w:val="single" w:color="auto" w:sz="4" w:space="0"/>
              <w:bottom w:val="single" w:color="auto" w:sz="4" w:space="0"/>
              <w:right w:val="single" w:color="auto" w:sz="4" w:space="0"/>
            </w:tcBorders>
            <w:vAlign w:val="center"/>
          </w:tcPr>
          <w:p w14:paraId="4794129A">
            <w:pPr>
              <w:jc w:val="center"/>
              <w:rPr>
                <w:rFonts w:eastAsia="仿宋_GB2312"/>
                <w:color w:val="auto"/>
                <w:sz w:val="28"/>
                <w:szCs w:val="28"/>
              </w:rPr>
            </w:pPr>
            <w:r>
              <w:rPr>
                <w:rFonts w:hint="eastAsia" w:eastAsia="仿宋_GB2312"/>
                <w:color w:val="auto"/>
                <w:sz w:val="28"/>
                <w:szCs w:val="28"/>
              </w:rPr>
              <w:t>朱江华</w:t>
            </w:r>
          </w:p>
        </w:tc>
        <w:tc>
          <w:tcPr>
            <w:tcW w:w="840" w:type="dxa"/>
            <w:tcBorders>
              <w:top w:val="single" w:color="auto" w:sz="4" w:space="0"/>
              <w:left w:val="single" w:color="auto" w:sz="4" w:space="0"/>
              <w:bottom w:val="single" w:color="auto" w:sz="4" w:space="0"/>
              <w:right w:val="single" w:color="auto" w:sz="4" w:space="0"/>
            </w:tcBorders>
            <w:vAlign w:val="center"/>
          </w:tcPr>
          <w:p w14:paraId="169A869F">
            <w:pPr>
              <w:jc w:val="center"/>
              <w:rPr>
                <w:color w:val="auto"/>
                <w:sz w:val="28"/>
                <w:szCs w:val="28"/>
              </w:rPr>
            </w:pPr>
            <w:r>
              <w:rPr>
                <w:rFonts w:hint="eastAsia" w:eastAsia="仿宋_GB2312"/>
                <w:color w:val="auto"/>
                <w:sz w:val="28"/>
                <w:szCs w:val="28"/>
              </w:rPr>
              <w:t>男</w:t>
            </w:r>
          </w:p>
        </w:tc>
        <w:tc>
          <w:tcPr>
            <w:tcW w:w="1907" w:type="dxa"/>
            <w:tcBorders>
              <w:top w:val="single" w:color="auto" w:sz="4" w:space="0"/>
              <w:left w:val="single" w:color="auto" w:sz="4" w:space="0"/>
              <w:bottom w:val="single" w:color="auto" w:sz="4" w:space="0"/>
              <w:right w:val="single" w:color="auto" w:sz="4" w:space="0"/>
            </w:tcBorders>
            <w:vAlign w:val="center"/>
          </w:tcPr>
          <w:p w14:paraId="412B5216">
            <w:pPr>
              <w:jc w:val="center"/>
              <w:rPr>
                <w:color w:val="auto"/>
                <w:sz w:val="28"/>
                <w:szCs w:val="28"/>
              </w:rPr>
            </w:pPr>
            <w:r>
              <w:rPr>
                <w:rFonts w:hint="eastAsia" w:eastAsia="仿宋_GB2312"/>
                <w:color w:val="auto"/>
                <w:sz w:val="28"/>
                <w:szCs w:val="28"/>
              </w:rPr>
              <w:t>讲师</w:t>
            </w:r>
          </w:p>
        </w:tc>
        <w:tc>
          <w:tcPr>
            <w:tcW w:w="3040" w:type="dxa"/>
            <w:tcBorders>
              <w:top w:val="single" w:color="auto" w:sz="4" w:space="0"/>
              <w:left w:val="single" w:color="auto" w:sz="4" w:space="0"/>
              <w:bottom w:val="single" w:color="auto" w:sz="4" w:space="0"/>
              <w:right w:val="single" w:color="auto" w:sz="4" w:space="0"/>
            </w:tcBorders>
            <w:vAlign w:val="center"/>
          </w:tcPr>
          <w:p w14:paraId="35F8E50B">
            <w:pPr>
              <w:jc w:val="center"/>
              <w:rPr>
                <w:rFonts w:eastAsia="仿宋_GB2312"/>
                <w:color w:val="auto"/>
                <w:sz w:val="28"/>
                <w:szCs w:val="28"/>
              </w:rPr>
            </w:pPr>
            <w:r>
              <w:rPr>
                <w:rFonts w:hint="eastAsia" w:eastAsia="仿宋_GB2312"/>
                <w:color w:val="auto"/>
                <w:sz w:val="28"/>
                <w:szCs w:val="28"/>
              </w:rPr>
              <w:t>江西环境工程学院</w:t>
            </w:r>
          </w:p>
        </w:tc>
        <w:tc>
          <w:tcPr>
            <w:tcW w:w="1506" w:type="dxa"/>
            <w:tcBorders>
              <w:top w:val="single" w:color="auto" w:sz="4" w:space="0"/>
              <w:left w:val="single" w:color="auto" w:sz="4" w:space="0"/>
              <w:bottom w:val="single" w:color="auto" w:sz="4" w:space="0"/>
              <w:right w:val="single" w:color="auto" w:sz="4" w:space="0"/>
            </w:tcBorders>
            <w:vAlign w:val="center"/>
          </w:tcPr>
          <w:p w14:paraId="2877A2AD">
            <w:pPr>
              <w:jc w:val="center"/>
              <w:rPr>
                <w:rFonts w:eastAsia="仿宋_GB2312"/>
                <w:color w:val="auto"/>
                <w:sz w:val="28"/>
                <w:szCs w:val="28"/>
              </w:rPr>
            </w:pPr>
            <w:r>
              <w:rPr>
                <w:rFonts w:hint="eastAsia" w:eastAsia="仿宋_GB2312"/>
                <w:color w:val="auto"/>
                <w:sz w:val="28"/>
                <w:szCs w:val="28"/>
              </w:rPr>
              <w:t>主持</w:t>
            </w:r>
          </w:p>
        </w:tc>
      </w:tr>
      <w:tr w14:paraId="2EA0C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9" w:type="dxa"/>
            <w:tcBorders>
              <w:top w:val="single" w:color="auto" w:sz="4" w:space="0"/>
              <w:left w:val="single" w:color="auto" w:sz="4" w:space="0"/>
              <w:bottom w:val="single" w:color="auto" w:sz="4" w:space="0"/>
              <w:right w:val="single" w:color="auto" w:sz="4" w:space="0"/>
            </w:tcBorders>
            <w:vAlign w:val="center"/>
          </w:tcPr>
          <w:p w14:paraId="1A1B6EB1">
            <w:pPr>
              <w:jc w:val="center"/>
              <w:rPr>
                <w:rFonts w:eastAsia="仿宋_GB2312"/>
                <w:color w:val="auto"/>
                <w:sz w:val="28"/>
                <w:szCs w:val="28"/>
              </w:rPr>
            </w:pPr>
            <w:r>
              <w:rPr>
                <w:rFonts w:hint="eastAsia" w:eastAsia="仿宋_GB2312"/>
                <w:color w:val="auto"/>
                <w:sz w:val="28"/>
                <w:szCs w:val="28"/>
              </w:rPr>
              <w:t>2</w:t>
            </w:r>
          </w:p>
        </w:tc>
        <w:tc>
          <w:tcPr>
            <w:tcW w:w="1107" w:type="dxa"/>
            <w:tcBorders>
              <w:top w:val="single" w:color="auto" w:sz="4" w:space="0"/>
              <w:left w:val="single" w:color="auto" w:sz="4" w:space="0"/>
              <w:bottom w:val="single" w:color="auto" w:sz="4" w:space="0"/>
              <w:right w:val="single" w:color="auto" w:sz="4" w:space="0"/>
            </w:tcBorders>
            <w:vAlign w:val="center"/>
          </w:tcPr>
          <w:p w14:paraId="29723120">
            <w:pPr>
              <w:jc w:val="center"/>
              <w:rPr>
                <w:rFonts w:eastAsia="仿宋_GB2312"/>
                <w:color w:val="auto"/>
                <w:sz w:val="28"/>
                <w:szCs w:val="28"/>
              </w:rPr>
            </w:pPr>
            <w:r>
              <w:rPr>
                <w:rFonts w:hint="eastAsia" w:eastAsia="仿宋_GB2312"/>
                <w:color w:val="auto"/>
                <w:sz w:val="28"/>
                <w:szCs w:val="28"/>
              </w:rPr>
              <w:t>韩璐</w:t>
            </w:r>
          </w:p>
        </w:tc>
        <w:tc>
          <w:tcPr>
            <w:tcW w:w="840" w:type="dxa"/>
            <w:tcBorders>
              <w:top w:val="single" w:color="auto" w:sz="4" w:space="0"/>
              <w:left w:val="single" w:color="auto" w:sz="4" w:space="0"/>
              <w:bottom w:val="single" w:color="auto" w:sz="4" w:space="0"/>
              <w:right w:val="single" w:color="auto" w:sz="4" w:space="0"/>
            </w:tcBorders>
            <w:vAlign w:val="center"/>
          </w:tcPr>
          <w:p w14:paraId="1CD374A4">
            <w:pPr>
              <w:jc w:val="center"/>
              <w:rPr>
                <w:rFonts w:eastAsia="仿宋_GB2312"/>
                <w:color w:val="auto"/>
                <w:sz w:val="28"/>
                <w:szCs w:val="28"/>
              </w:rPr>
            </w:pPr>
            <w:r>
              <w:rPr>
                <w:rFonts w:hint="eastAsia" w:eastAsia="仿宋_GB2312"/>
                <w:color w:val="auto"/>
                <w:sz w:val="28"/>
                <w:szCs w:val="28"/>
              </w:rPr>
              <w:t>女</w:t>
            </w:r>
          </w:p>
        </w:tc>
        <w:tc>
          <w:tcPr>
            <w:tcW w:w="1907" w:type="dxa"/>
            <w:tcBorders>
              <w:top w:val="single" w:color="auto" w:sz="4" w:space="0"/>
              <w:left w:val="single" w:color="auto" w:sz="4" w:space="0"/>
              <w:bottom w:val="single" w:color="auto" w:sz="4" w:space="0"/>
              <w:right w:val="single" w:color="auto" w:sz="4" w:space="0"/>
            </w:tcBorders>
            <w:vAlign w:val="center"/>
          </w:tcPr>
          <w:p w14:paraId="772E6D26">
            <w:pPr>
              <w:jc w:val="center"/>
              <w:rPr>
                <w:rFonts w:eastAsia="仿宋_GB2312"/>
                <w:color w:val="auto"/>
                <w:sz w:val="28"/>
                <w:szCs w:val="28"/>
              </w:rPr>
            </w:pPr>
            <w:r>
              <w:rPr>
                <w:rFonts w:hint="eastAsia" w:eastAsia="仿宋_GB2312"/>
                <w:color w:val="auto"/>
                <w:sz w:val="28"/>
                <w:szCs w:val="28"/>
              </w:rPr>
              <w:t>助教</w:t>
            </w:r>
          </w:p>
        </w:tc>
        <w:tc>
          <w:tcPr>
            <w:tcW w:w="3040" w:type="dxa"/>
            <w:tcBorders>
              <w:top w:val="single" w:color="auto" w:sz="4" w:space="0"/>
              <w:left w:val="single" w:color="auto" w:sz="4" w:space="0"/>
              <w:bottom w:val="single" w:color="auto" w:sz="4" w:space="0"/>
              <w:right w:val="single" w:color="auto" w:sz="4" w:space="0"/>
            </w:tcBorders>
            <w:vAlign w:val="center"/>
          </w:tcPr>
          <w:p w14:paraId="4B1E4623">
            <w:pPr>
              <w:jc w:val="center"/>
              <w:rPr>
                <w:rFonts w:eastAsia="仿宋_GB2312"/>
                <w:color w:val="auto"/>
                <w:sz w:val="28"/>
                <w:szCs w:val="28"/>
              </w:rPr>
            </w:pPr>
            <w:r>
              <w:rPr>
                <w:rFonts w:hint="eastAsia" w:eastAsia="仿宋_GB2312"/>
                <w:color w:val="auto"/>
                <w:sz w:val="28"/>
                <w:szCs w:val="28"/>
              </w:rPr>
              <w:t>江西环境工程学院</w:t>
            </w:r>
          </w:p>
        </w:tc>
        <w:tc>
          <w:tcPr>
            <w:tcW w:w="1506" w:type="dxa"/>
            <w:tcBorders>
              <w:top w:val="single" w:color="auto" w:sz="4" w:space="0"/>
              <w:left w:val="single" w:color="auto" w:sz="4" w:space="0"/>
              <w:bottom w:val="single" w:color="auto" w:sz="4" w:space="0"/>
              <w:right w:val="single" w:color="auto" w:sz="4" w:space="0"/>
            </w:tcBorders>
            <w:vAlign w:val="center"/>
          </w:tcPr>
          <w:p w14:paraId="637585F4">
            <w:pPr>
              <w:jc w:val="center"/>
              <w:rPr>
                <w:rFonts w:eastAsia="仿宋_GB2312"/>
                <w:color w:val="auto"/>
                <w:sz w:val="28"/>
                <w:szCs w:val="28"/>
              </w:rPr>
            </w:pPr>
            <w:r>
              <w:rPr>
                <w:rFonts w:hint="eastAsia" w:eastAsia="仿宋_GB2312"/>
                <w:color w:val="auto"/>
                <w:sz w:val="28"/>
                <w:szCs w:val="28"/>
              </w:rPr>
              <w:t>协助主持</w:t>
            </w:r>
          </w:p>
        </w:tc>
      </w:tr>
      <w:tr w14:paraId="76FAE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9" w:type="dxa"/>
            <w:tcBorders>
              <w:top w:val="single" w:color="auto" w:sz="4" w:space="0"/>
              <w:left w:val="single" w:color="auto" w:sz="4" w:space="0"/>
              <w:bottom w:val="single" w:color="auto" w:sz="4" w:space="0"/>
              <w:right w:val="single" w:color="auto" w:sz="4" w:space="0"/>
            </w:tcBorders>
            <w:vAlign w:val="center"/>
          </w:tcPr>
          <w:p w14:paraId="47D0AA07">
            <w:pPr>
              <w:jc w:val="center"/>
              <w:rPr>
                <w:rFonts w:eastAsia="仿宋_GB2312"/>
                <w:color w:val="auto"/>
                <w:sz w:val="28"/>
                <w:szCs w:val="28"/>
              </w:rPr>
            </w:pPr>
            <w:r>
              <w:rPr>
                <w:rFonts w:hint="eastAsia" w:eastAsia="仿宋_GB2312"/>
                <w:color w:val="auto"/>
                <w:sz w:val="28"/>
                <w:szCs w:val="28"/>
              </w:rPr>
              <w:t>3</w:t>
            </w:r>
          </w:p>
        </w:tc>
        <w:tc>
          <w:tcPr>
            <w:tcW w:w="1107" w:type="dxa"/>
            <w:tcBorders>
              <w:top w:val="single" w:color="auto" w:sz="4" w:space="0"/>
              <w:left w:val="single" w:color="auto" w:sz="4" w:space="0"/>
              <w:bottom w:val="single" w:color="auto" w:sz="4" w:space="0"/>
              <w:right w:val="single" w:color="auto" w:sz="4" w:space="0"/>
            </w:tcBorders>
            <w:shd w:val="clear"/>
            <w:vAlign w:val="center"/>
          </w:tcPr>
          <w:p w14:paraId="2B17A0F7">
            <w:pPr>
              <w:jc w:val="center"/>
              <w:rPr>
                <w:rFonts w:ascii="Times New Roman" w:hAnsi="Times New Roman" w:eastAsia="仿宋_GB2312" w:cs="Times New Roman"/>
                <w:color w:val="auto"/>
                <w:kern w:val="2"/>
                <w:sz w:val="28"/>
                <w:szCs w:val="28"/>
                <w:lang w:val="en-US" w:eastAsia="zh-CN" w:bidi="ar-SA"/>
                <w14:ligatures w14:val="none"/>
              </w:rPr>
            </w:pPr>
            <w:r>
              <w:rPr>
                <w:rFonts w:hint="eastAsia" w:eastAsia="仿宋_GB2312"/>
                <w:color w:val="auto"/>
                <w:sz w:val="28"/>
                <w:szCs w:val="28"/>
              </w:rPr>
              <w:t>欧洋</w:t>
            </w:r>
          </w:p>
        </w:tc>
        <w:tc>
          <w:tcPr>
            <w:tcW w:w="840" w:type="dxa"/>
            <w:tcBorders>
              <w:top w:val="single" w:color="auto" w:sz="4" w:space="0"/>
              <w:left w:val="single" w:color="auto" w:sz="4" w:space="0"/>
              <w:bottom w:val="single" w:color="auto" w:sz="4" w:space="0"/>
              <w:right w:val="single" w:color="auto" w:sz="4" w:space="0"/>
            </w:tcBorders>
            <w:shd w:val="clear"/>
            <w:vAlign w:val="center"/>
          </w:tcPr>
          <w:p w14:paraId="4486F614">
            <w:pPr>
              <w:jc w:val="center"/>
              <w:rPr>
                <w:rFonts w:ascii="Times New Roman" w:hAnsi="Times New Roman" w:eastAsia="仿宋_GB2312" w:cs="Times New Roman"/>
                <w:color w:val="auto"/>
                <w:kern w:val="2"/>
                <w:sz w:val="28"/>
                <w:szCs w:val="28"/>
                <w:lang w:val="en-US" w:eastAsia="zh-CN" w:bidi="ar-SA"/>
                <w14:ligatures w14:val="none"/>
              </w:rPr>
            </w:pPr>
            <w:r>
              <w:rPr>
                <w:rFonts w:hint="eastAsia" w:eastAsia="仿宋_GB2312"/>
                <w:color w:val="auto"/>
                <w:sz w:val="28"/>
                <w:szCs w:val="28"/>
              </w:rPr>
              <w:t>男</w:t>
            </w:r>
          </w:p>
        </w:tc>
        <w:tc>
          <w:tcPr>
            <w:tcW w:w="1907" w:type="dxa"/>
            <w:tcBorders>
              <w:top w:val="single" w:color="auto" w:sz="4" w:space="0"/>
              <w:left w:val="single" w:color="auto" w:sz="4" w:space="0"/>
              <w:bottom w:val="single" w:color="auto" w:sz="4" w:space="0"/>
              <w:right w:val="single" w:color="auto" w:sz="4" w:space="0"/>
            </w:tcBorders>
            <w:shd w:val="clear"/>
            <w:vAlign w:val="center"/>
          </w:tcPr>
          <w:p w14:paraId="089B28A6">
            <w:pPr>
              <w:jc w:val="center"/>
              <w:rPr>
                <w:rFonts w:ascii="Times New Roman" w:hAnsi="Times New Roman" w:eastAsia="仿宋_GB2312" w:cs="Times New Roman"/>
                <w:color w:val="auto"/>
                <w:kern w:val="2"/>
                <w:sz w:val="28"/>
                <w:szCs w:val="28"/>
                <w:lang w:val="en-US" w:eastAsia="zh-CN" w:bidi="ar-SA"/>
                <w14:ligatures w14:val="none"/>
              </w:rPr>
            </w:pPr>
            <w:r>
              <w:rPr>
                <w:rFonts w:hint="eastAsia" w:eastAsia="仿宋_GB2312"/>
                <w:color w:val="auto"/>
                <w:sz w:val="28"/>
                <w:szCs w:val="28"/>
              </w:rPr>
              <w:t>工程师</w:t>
            </w:r>
          </w:p>
        </w:tc>
        <w:tc>
          <w:tcPr>
            <w:tcW w:w="3040" w:type="dxa"/>
            <w:tcBorders>
              <w:top w:val="single" w:color="auto" w:sz="4" w:space="0"/>
              <w:left w:val="single" w:color="auto" w:sz="4" w:space="0"/>
              <w:bottom w:val="single" w:color="auto" w:sz="4" w:space="0"/>
              <w:right w:val="single" w:color="auto" w:sz="4" w:space="0"/>
            </w:tcBorders>
            <w:shd w:val="clear"/>
            <w:vAlign w:val="center"/>
          </w:tcPr>
          <w:p w14:paraId="43731171">
            <w:pPr>
              <w:jc w:val="center"/>
              <w:rPr>
                <w:rFonts w:ascii="Times New Roman" w:hAnsi="Times New Roman" w:eastAsia="仿宋_GB2312" w:cs="Times New Roman"/>
                <w:color w:val="auto"/>
                <w:kern w:val="2"/>
                <w:sz w:val="28"/>
                <w:szCs w:val="28"/>
                <w:lang w:val="en-US" w:eastAsia="zh-CN" w:bidi="ar-SA"/>
                <w14:ligatures w14:val="none"/>
              </w:rPr>
            </w:pPr>
            <w:r>
              <w:rPr>
                <w:rFonts w:hint="eastAsia" w:eastAsia="仿宋_GB2312"/>
                <w:color w:val="auto"/>
                <w:sz w:val="28"/>
                <w:szCs w:val="28"/>
              </w:rPr>
              <w:t>赣州市森源科技种苗场</w:t>
            </w:r>
          </w:p>
        </w:tc>
        <w:tc>
          <w:tcPr>
            <w:tcW w:w="1506" w:type="dxa"/>
            <w:tcBorders>
              <w:top w:val="single" w:color="auto" w:sz="4" w:space="0"/>
              <w:left w:val="single" w:color="auto" w:sz="4" w:space="0"/>
              <w:bottom w:val="single" w:color="auto" w:sz="4" w:space="0"/>
              <w:right w:val="single" w:color="auto" w:sz="4" w:space="0"/>
            </w:tcBorders>
            <w:shd w:val="clear"/>
            <w:vAlign w:val="center"/>
          </w:tcPr>
          <w:p w14:paraId="3070EB2D">
            <w:pPr>
              <w:jc w:val="center"/>
              <w:rPr>
                <w:rFonts w:ascii="Times New Roman" w:hAnsi="Times New Roman" w:eastAsia="仿宋_GB2312" w:cs="Times New Roman"/>
                <w:color w:val="auto"/>
                <w:kern w:val="2"/>
                <w:sz w:val="28"/>
                <w:szCs w:val="28"/>
                <w:lang w:val="en-US" w:eastAsia="zh-CN" w:bidi="ar-SA"/>
                <w14:ligatures w14:val="none"/>
              </w:rPr>
            </w:pPr>
            <w:r>
              <w:rPr>
                <w:rFonts w:hint="eastAsia" w:eastAsia="仿宋_GB2312"/>
                <w:color w:val="auto"/>
                <w:sz w:val="28"/>
                <w:szCs w:val="28"/>
              </w:rPr>
              <w:t>试验管理</w:t>
            </w:r>
          </w:p>
        </w:tc>
      </w:tr>
      <w:tr w14:paraId="4C1F5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9" w:type="dxa"/>
            <w:tcBorders>
              <w:top w:val="single" w:color="auto" w:sz="4" w:space="0"/>
              <w:left w:val="single" w:color="auto" w:sz="4" w:space="0"/>
              <w:bottom w:val="single" w:color="auto" w:sz="4" w:space="0"/>
              <w:right w:val="single" w:color="auto" w:sz="4" w:space="0"/>
            </w:tcBorders>
            <w:vAlign w:val="center"/>
          </w:tcPr>
          <w:p w14:paraId="0D0D5B3E">
            <w:pPr>
              <w:jc w:val="center"/>
              <w:rPr>
                <w:rFonts w:eastAsia="仿宋_GB2312"/>
                <w:color w:val="auto"/>
                <w:sz w:val="28"/>
                <w:szCs w:val="28"/>
              </w:rPr>
            </w:pPr>
            <w:r>
              <w:rPr>
                <w:rFonts w:eastAsia="仿宋_GB2312"/>
                <w:color w:val="auto"/>
                <w:sz w:val="28"/>
                <w:szCs w:val="28"/>
              </w:rPr>
              <w:t>4</w:t>
            </w:r>
          </w:p>
        </w:tc>
        <w:tc>
          <w:tcPr>
            <w:tcW w:w="1107" w:type="dxa"/>
            <w:tcBorders>
              <w:top w:val="single" w:color="auto" w:sz="4" w:space="0"/>
              <w:left w:val="single" w:color="auto" w:sz="4" w:space="0"/>
              <w:bottom w:val="single" w:color="auto" w:sz="4" w:space="0"/>
              <w:right w:val="single" w:color="auto" w:sz="4" w:space="0"/>
            </w:tcBorders>
            <w:vAlign w:val="center"/>
          </w:tcPr>
          <w:p w14:paraId="547208CD">
            <w:pPr>
              <w:jc w:val="center"/>
              <w:rPr>
                <w:rFonts w:eastAsia="仿宋_GB2312"/>
                <w:color w:val="auto"/>
                <w:sz w:val="28"/>
                <w:szCs w:val="28"/>
              </w:rPr>
            </w:pPr>
            <w:r>
              <w:rPr>
                <w:rFonts w:hint="eastAsia" w:eastAsia="仿宋_GB2312"/>
                <w:color w:val="auto"/>
                <w:sz w:val="28"/>
                <w:szCs w:val="28"/>
              </w:rPr>
              <w:t>朱恩永</w:t>
            </w:r>
          </w:p>
        </w:tc>
        <w:tc>
          <w:tcPr>
            <w:tcW w:w="840" w:type="dxa"/>
            <w:tcBorders>
              <w:top w:val="single" w:color="auto" w:sz="4" w:space="0"/>
              <w:left w:val="single" w:color="auto" w:sz="4" w:space="0"/>
              <w:bottom w:val="single" w:color="auto" w:sz="4" w:space="0"/>
              <w:right w:val="single" w:color="auto" w:sz="4" w:space="0"/>
            </w:tcBorders>
            <w:vAlign w:val="center"/>
          </w:tcPr>
          <w:p w14:paraId="35C891EA">
            <w:pPr>
              <w:jc w:val="center"/>
              <w:rPr>
                <w:rFonts w:eastAsia="仿宋_GB2312"/>
                <w:color w:val="auto"/>
                <w:sz w:val="28"/>
                <w:szCs w:val="28"/>
              </w:rPr>
            </w:pPr>
            <w:r>
              <w:rPr>
                <w:rFonts w:hint="eastAsia" w:eastAsia="仿宋_GB2312"/>
                <w:color w:val="auto"/>
                <w:sz w:val="28"/>
                <w:szCs w:val="28"/>
              </w:rPr>
              <w:t>男</w:t>
            </w:r>
          </w:p>
        </w:tc>
        <w:tc>
          <w:tcPr>
            <w:tcW w:w="1907" w:type="dxa"/>
            <w:tcBorders>
              <w:top w:val="single" w:color="auto" w:sz="4" w:space="0"/>
              <w:left w:val="single" w:color="auto" w:sz="4" w:space="0"/>
              <w:bottom w:val="single" w:color="auto" w:sz="4" w:space="0"/>
              <w:right w:val="single" w:color="auto" w:sz="4" w:space="0"/>
            </w:tcBorders>
            <w:vAlign w:val="center"/>
          </w:tcPr>
          <w:p w14:paraId="6A9297FF">
            <w:pPr>
              <w:jc w:val="center"/>
              <w:rPr>
                <w:rFonts w:eastAsia="仿宋_GB2312"/>
                <w:color w:val="auto"/>
                <w:sz w:val="28"/>
                <w:szCs w:val="28"/>
              </w:rPr>
            </w:pPr>
            <w:r>
              <w:rPr>
                <w:rFonts w:hint="eastAsia" w:eastAsia="仿宋_GB2312"/>
                <w:color w:val="auto"/>
                <w:sz w:val="28"/>
                <w:szCs w:val="28"/>
              </w:rPr>
              <w:t>助理工程师</w:t>
            </w:r>
          </w:p>
        </w:tc>
        <w:tc>
          <w:tcPr>
            <w:tcW w:w="3040" w:type="dxa"/>
            <w:tcBorders>
              <w:top w:val="single" w:color="auto" w:sz="4" w:space="0"/>
              <w:left w:val="single" w:color="auto" w:sz="4" w:space="0"/>
              <w:bottom w:val="single" w:color="auto" w:sz="4" w:space="0"/>
              <w:right w:val="single" w:color="auto" w:sz="4" w:space="0"/>
            </w:tcBorders>
            <w:vAlign w:val="center"/>
          </w:tcPr>
          <w:p w14:paraId="14DDF140">
            <w:pPr>
              <w:jc w:val="center"/>
              <w:rPr>
                <w:rFonts w:eastAsia="仿宋_GB2312"/>
                <w:color w:val="auto"/>
                <w:sz w:val="28"/>
                <w:szCs w:val="28"/>
              </w:rPr>
            </w:pPr>
            <w:r>
              <w:rPr>
                <w:rFonts w:hint="eastAsia" w:eastAsia="仿宋_GB2312"/>
                <w:color w:val="auto"/>
                <w:sz w:val="28"/>
                <w:szCs w:val="28"/>
              </w:rPr>
              <w:t>信丰县金盆山林场</w:t>
            </w:r>
          </w:p>
        </w:tc>
        <w:tc>
          <w:tcPr>
            <w:tcW w:w="1506" w:type="dxa"/>
            <w:tcBorders>
              <w:top w:val="single" w:color="auto" w:sz="4" w:space="0"/>
              <w:left w:val="single" w:color="auto" w:sz="4" w:space="0"/>
              <w:bottom w:val="single" w:color="auto" w:sz="4" w:space="0"/>
              <w:right w:val="single" w:color="auto" w:sz="4" w:space="0"/>
            </w:tcBorders>
            <w:vAlign w:val="center"/>
          </w:tcPr>
          <w:p w14:paraId="217CCF09">
            <w:pPr>
              <w:jc w:val="center"/>
              <w:rPr>
                <w:rFonts w:eastAsia="仿宋_GB2312"/>
                <w:color w:val="auto"/>
                <w:sz w:val="28"/>
                <w:szCs w:val="28"/>
              </w:rPr>
            </w:pPr>
            <w:r>
              <w:rPr>
                <w:rFonts w:hint="eastAsia" w:eastAsia="仿宋_GB2312"/>
                <w:color w:val="auto"/>
                <w:sz w:val="28"/>
                <w:szCs w:val="28"/>
              </w:rPr>
              <w:t>试验管理</w:t>
            </w:r>
          </w:p>
        </w:tc>
      </w:tr>
      <w:tr w14:paraId="2BB21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9" w:type="dxa"/>
            <w:tcBorders>
              <w:top w:val="single" w:color="auto" w:sz="4" w:space="0"/>
              <w:left w:val="single" w:color="auto" w:sz="4" w:space="0"/>
              <w:bottom w:val="single" w:color="auto" w:sz="4" w:space="0"/>
              <w:right w:val="single" w:color="auto" w:sz="4" w:space="0"/>
            </w:tcBorders>
            <w:vAlign w:val="center"/>
          </w:tcPr>
          <w:p w14:paraId="69FC4498">
            <w:pPr>
              <w:jc w:val="center"/>
              <w:rPr>
                <w:rFonts w:eastAsia="仿宋_GB2312"/>
                <w:color w:val="auto"/>
                <w:sz w:val="28"/>
                <w:szCs w:val="28"/>
              </w:rPr>
            </w:pPr>
            <w:r>
              <w:rPr>
                <w:rFonts w:eastAsia="仿宋_GB2312"/>
                <w:color w:val="auto"/>
                <w:sz w:val="28"/>
                <w:szCs w:val="28"/>
              </w:rPr>
              <w:t>5</w:t>
            </w:r>
          </w:p>
        </w:tc>
        <w:tc>
          <w:tcPr>
            <w:tcW w:w="1107" w:type="dxa"/>
            <w:tcBorders>
              <w:top w:val="single" w:color="auto" w:sz="4" w:space="0"/>
              <w:left w:val="single" w:color="auto" w:sz="4" w:space="0"/>
              <w:bottom w:val="single" w:color="auto" w:sz="4" w:space="0"/>
              <w:right w:val="single" w:color="auto" w:sz="4" w:space="0"/>
            </w:tcBorders>
            <w:shd w:val="clear" w:color="auto" w:fill="auto"/>
            <w:vAlign w:val="center"/>
          </w:tcPr>
          <w:p w14:paraId="0DE06AB7">
            <w:pPr>
              <w:jc w:val="center"/>
              <w:rPr>
                <w:rFonts w:hint="eastAsia" w:ascii="Times New Roman" w:hAnsi="Times New Roman" w:eastAsia="仿宋_GB2312" w:cs="Times New Roman"/>
                <w:color w:val="auto"/>
                <w:kern w:val="2"/>
                <w:sz w:val="28"/>
                <w:szCs w:val="28"/>
                <w:lang w:val="en-US" w:eastAsia="zh-CN" w:bidi="ar-SA"/>
                <w14:ligatures w14:val="none"/>
              </w:rPr>
            </w:pPr>
            <w:r>
              <w:rPr>
                <w:rFonts w:hint="eastAsia" w:eastAsia="仿宋_GB2312"/>
                <w:color w:val="auto"/>
                <w:sz w:val="28"/>
                <w:szCs w:val="28"/>
              </w:rPr>
              <w:t>欧斌</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756AACBE">
            <w:pPr>
              <w:jc w:val="center"/>
              <w:rPr>
                <w:rFonts w:hint="eastAsia" w:ascii="Times New Roman" w:hAnsi="Times New Roman" w:eastAsia="仿宋_GB2312" w:cs="Times New Roman"/>
                <w:color w:val="auto"/>
                <w:kern w:val="2"/>
                <w:sz w:val="28"/>
                <w:szCs w:val="28"/>
                <w:lang w:val="en-US" w:eastAsia="zh-CN" w:bidi="ar-SA"/>
                <w14:ligatures w14:val="none"/>
              </w:rPr>
            </w:pPr>
            <w:r>
              <w:rPr>
                <w:rFonts w:hint="eastAsia" w:eastAsia="仿宋_GB2312"/>
                <w:color w:val="auto"/>
                <w:sz w:val="28"/>
                <w:szCs w:val="28"/>
              </w:rPr>
              <w:t>男</w:t>
            </w:r>
          </w:p>
        </w:tc>
        <w:tc>
          <w:tcPr>
            <w:tcW w:w="1907" w:type="dxa"/>
            <w:tcBorders>
              <w:top w:val="single" w:color="auto" w:sz="4" w:space="0"/>
              <w:left w:val="single" w:color="auto" w:sz="4" w:space="0"/>
              <w:bottom w:val="single" w:color="auto" w:sz="4" w:space="0"/>
              <w:right w:val="single" w:color="auto" w:sz="4" w:space="0"/>
            </w:tcBorders>
            <w:shd w:val="clear" w:color="auto" w:fill="auto"/>
            <w:vAlign w:val="center"/>
          </w:tcPr>
          <w:p w14:paraId="1871F30E">
            <w:pPr>
              <w:jc w:val="center"/>
              <w:rPr>
                <w:rFonts w:hint="eastAsia" w:ascii="Times New Roman" w:hAnsi="Times New Roman" w:eastAsia="仿宋_GB2312" w:cs="Times New Roman"/>
                <w:color w:val="auto"/>
                <w:kern w:val="2"/>
                <w:sz w:val="28"/>
                <w:szCs w:val="28"/>
                <w:lang w:val="en-US" w:eastAsia="zh-CN" w:bidi="ar-SA"/>
                <w14:ligatures w14:val="none"/>
              </w:rPr>
            </w:pPr>
            <w:r>
              <w:rPr>
                <w:rFonts w:hint="eastAsia" w:eastAsia="仿宋_GB2312"/>
                <w:color w:val="auto"/>
                <w:sz w:val="28"/>
                <w:szCs w:val="28"/>
              </w:rPr>
              <w:t>正高级工程师</w:t>
            </w:r>
          </w:p>
        </w:tc>
        <w:tc>
          <w:tcPr>
            <w:tcW w:w="3040" w:type="dxa"/>
            <w:tcBorders>
              <w:top w:val="single" w:color="auto" w:sz="4" w:space="0"/>
              <w:left w:val="single" w:color="auto" w:sz="4" w:space="0"/>
              <w:bottom w:val="single" w:color="auto" w:sz="4" w:space="0"/>
              <w:right w:val="single" w:color="auto" w:sz="4" w:space="0"/>
            </w:tcBorders>
            <w:shd w:val="clear" w:color="auto" w:fill="auto"/>
            <w:vAlign w:val="center"/>
          </w:tcPr>
          <w:p w14:paraId="668627A4">
            <w:pPr>
              <w:jc w:val="center"/>
              <w:rPr>
                <w:rFonts w:hint="eastAsia" w:ascii="Times New Roman" w:hAnsi="Times New Roman" w:eastAsia="仿宋_GB2312" w:cs="Times New Roman"/>
                <w:color w:val="auto"/>
                <w:kern w:val="2"/>
                <w:sz w:val="28"/>
                <w:szCs w:val="28"/>
                <w:lang w:val="en-US" w:eastAsia="zh-CN" w:bidi="ar-SA"/>
                <w14:ligatures w14:val="none"/>
              </w:rPr>
            </w:pPr>
            <w:r>
              <w:rPr>
                <w:rFonts w:hint="eastAsia" w:eastAsia="仿宋_GB2312"/>
                <w:color w:val="auto"/>
                <w:sz w:val="28"/>
                <w:szCs w:val="28"/>
              </w:rPr>
              <w:t>江西环境工程职业学院</w:t>
            </w:r>
          </w:p>
        </w:tc>
        <w:tc>
          <w:tcPr>
            <w:tcW w:w="1506" w:type="dxa"/>
            <w:tcBorders>
              <w:top w:val="single" w:color="auto" w:sz="4" w:space="0"/>
              <w:left w:val="single" w:color="auto" w:sz="4" w:space="0"/>
              <w:bottom w:val="single" w:color="auto" w:sz="4" w:space="0"/>
              <w:right w:val="single" w:color="auto" w:sz="4" w:space="0"/>
            </w:tcBorders>
            <w:shd w:val="clear" w:color="auto" w:fill="auto"/>
            <w:vAlign w:val="center"/>
          </w:tcPr>
          <w:p w14:paraId="43ABAA53">
            <w:pPr>
              <w:jc w:val="center"/>
              <w:rPr>
                <w:rFonts w:hint="eastAsia" w:ascii="Times New Roman" w:hAnsi="Times New Roman" w:eastAsia="仿宋_GB2312" w:cs="Times New Roman"/>
                <w:color w:val="auto"/>
                <w:kern w:val="2"/>
                <w:sz w:val="28"/>
                <w:szCs w:val="28"/>
                <w:lang w:val="en-US" w:eastAsia="zh-CN" w:bidi="ar-SA"/>
                <w14:ligatures w14:val="none"/>
              </w:rPr>
            </w:pPr>
            <w:r>
              <w:rPr>
                <w:rFonts w:hint="eastAsia" w:eastAsia="仿宋_GB2312"/>
                <w:color w:val="auto"/>
                <w:sz w:val="28"/>
                <w:szCs w:val="28"/>
              </w:rPr>
              <w:t>技术支持</w:t>
            </w:r>
          </w:p>
        </w:tc>
      </w:tr>
      <w:tr w14:paraId="7D161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9" w:type="dxa"/>
            <w:tcBorders>
              <w:top w:val="single" w:color="auto" w:sz="4" w:space="0"/>
              <w:left w:val="single" w:color="auto" w:sz="4" w:space="0"/>
              <w:bottom w:val="single" w:color="auto" w:sz="4" w:space="0"/>
              <w:right w:val="single" w:color="auto" w:sz="4" w:space="0"/>
            </w:tcBorders>
            <w:vAlign w:val="center"/>
          </w:tcPr>
          <w:p w14:paraId="69A813C0">
            <w:pPr>
              <w:jc w:val="center"/>
              <w:rPr>
                <w:rFonts w:eastAsia="仿宋_GB2312"/>
                <w:color w:val="auto"/>
                <w:sz w:val="28"/>
                <w:szCs w:val="28"/>
              </w:rPr>
            </w:pPr>
            <w:r>
              <w:rPr>
                <w:rFonts w:eastAsia="仿宋_GB2312"/>
                <w:color w:val="auto"/>
                <w:sz w:val="28"/>
                <w:szCs w:val="28"/>
              </w:rPr>
              <w:t>6</w:t>
            </w:r>
          </w:p>
        </w:tc>
        <w:tc>
          <w:tcPr>
            <w:tcW w:w="1107" w:type="dxa"/>
            <w:tcBorders>
              <w:top w:val="single" w:color="auto" w:sz="4" w:space="0"/>
              <w:left w:val="single" w:color="auto" w:sz="4" w:space="0"/>
              <w:bottom w:val="single" w:color="auto" w:sz="4" w:space="0"/>
              <w:right w:val="single" w:color="auto" w:sz="4" w:space="0"/>
            </w:tcBorders>
            <w:vAlign w:val="center"/>
          </w:tcPr>
          <w:p w14:paraId="700AAE26">
            <w:pPr>
              <w:jc w:val="center"/>
              <w:rPr>
                <w:rFonts w:eastAsia="仿宋_GB2312"/>
                <w:color w:val="auto"/>
                <w:sz w:val="28"/>
                <w:szCs w:val="28"/>
              </w:rPr>
            </w:pPr>
            <w:r>
              <w:rPr>
                <w:rFonts w:hint="eastAsia" w:eastAsia="仿宋_GB2312"/>
                <w:color w:val="auto"/>
                <w:sz w:val="28"/>
                <w:szCs w:val="28"/>
              </w:rPr>
              <w:t>邱国伟</w:t>
            </w:r>
          </w:p>
        </w:tc>
        <w:tc>
          <w:tcPr>
            <w:tcW w:w="840" w:type="dxa"/>
            <w:tcBorders>
              <w:top w:val="single" w:color="auto" w:sz="4" w:space="0"/>
              <w:left w:val="single" w:color="auto" w:sz="4" w:space="0"/>
              <w:bottom w:val="single" w:color="auto" w:sz="4" w:space="0"/>
              <w:right w:val="single" w:color="auto" w:sz="4" w:space="0"/>
            </w:tcBorders>
            <w:vAlign w:val="center"/>
          </w:tcPr>
          <w:p w14:paraId="64C7DC3E">
            <w:pPr>
              <w:jc w:val="center"/>
              <w:rPr>
                <w:rFonts w:eastAsia="仿宋_GB2312"/>
                <w:color w:val="auto"/>
                <w:sz w:val="28"/>
                <w:szCs w:val="28"/>
              </w:rPr>
            </w:pPr>
            <w:r>
              <w:rPr>
                <w:rFonts w:hint="eastAsia" w:eastAsia="仿宋_GB2312"/>
                <w:color w:val="auto"/>
                <w:sz w:val="28"/>
                <w:szCs w:val="28"/>
              </w:rPr>
              <w:t>男</w:t>
            </w:r>
          </w:p>
        </w:tc>
        <w:tc>
          <w:tcPr>
            <w:tcW w:w="1907" w:type="dxa"/>
            <w:tcBorders>
              <w:top w:val="single" w:color="auto" w:sz="4" w:space="0"/>
              <w:left w:val="single" w:color="auto" w:sz="4" w:space="0"/>
              <w:bottom w:val="single" w:color="auto" w:sz="4" w:space="0"/>
              <w:right w:val="single" w:color="auto" w:sz="4" w:space="0"/>
            </w:tcBorders>
            <w:vAlign w:val="center"/>
          </w:tcPr>
          <w:p w14:paraId="62591ADA">
            <w:pPr>
              <w:jc w:val="center"/>
              <w:rPr>
                <w:rFonts w:eastAsia="仿宋_GB2312"/>
                <w:color w:val="auto"/>
                <w:sz w:val="28"/>
                <w:szCs w:val="28"/>
              </w:rPr>
            </w:pPr>
            <w:r>
              <w:rPr>
                <w:rFonts w:hint="eastAsia" w:eastAsia="仿宋_GB2312"/>
                <w:color w:val="auto"/>
                <w:sz w:val="28"/>
                <w:szCs w:val="28"/>
              </w:rPr>
              <w:t>工程师</w:t>
            </w:r>
          </w:p>
        </w:tc>
        <w:tc>
          <w:tcPr>
            <w:tcW w:w="3040" w:type="dxa"/>
            <w:tcBorders>
              <w:top w:val="single" w:color="auto" w:sz="4" w:space="0"/>
              <w:left w:val="single" w:color="auto" w:sz="4" w:space="0"/>
              <w:bottom w:val="single" w:color="auto" w:sz="4" w:space="0"/>
              <w:right w:val="single" w:color="auto" w:sz="4" w:space="0"/>
            </w:tcBorders>
            <w:vAlign w:val="center"/>
          </w:tcPr>
          <w:p w14:paraId="0F67FF5B">
            <w:pPr>
              <w:jc w:val="center"/>
              <w:rPr>
                <w:rFonts w:eastAsia="仿宋_GB2312"/>
                <w:color w:val="auto"/>
                <w:sz w:val="28"/>
                <w:szCs w:val="28"/>
              </w:rPr>
            </w:pPr>
            <w:r>
              <w:rPr>
                <w:rFonts w:hint="eastAsia" w:eastAsia="仿宋_GB2312"/>
                <w:color w:val="auto"/>
                <w:sz w:val="28"/>
                <w:szCs w:val="28"/>
              </w:rPr>
              <w:t>信丰县金盆山林场</w:t>
            </w:r>
          </w:p>
        </w:tc>
        <w:tc>
          <w:tcPr>
            <w:tcW w:w="1506" w:type="dxa"/>
            <w:tcBorders>
              <w:top w:val="single" w:color="auto" w:sz="4" w:space="0"/>
              <w:left w:val="single" w:color="auto" w:sz="4" w:space="0"/>
              <w:bottom w:val="single" w:color="auto" w:sz="4" w:space="0"/>
              <w:right w:val="single" w:color="auto" w:sz="4" w:space="0"/>
            </w:tcBorders>
            <w:vAlign w:val="center"/>
          </w:tcPr>
          <w:p w14:paraId="23BBF797">
            <w:pPr>
              <w:jc w:val="center"/>
              <w:rPr>
                <w:rFonts w:eastAsia="仿宋_GB2312"/>
                <w:color w:val="auto"/>
                <w:sz w:val="28"/>
                <w:szCs w:val="28"/>
              </w:rPr>
            </w:pPr>
            <w:r>
              <w:rPr>
                <w:rFonts w:hint="eastAsia" w:eastAsia="仿宋_GB2312"/>
                <w:color w:val="auto"/>
                <w:sz w:val="28"/>
                <w:szCs w:val="28"/>
              </w:rPr>
              <w:t>试验实施</w:t>
            </w:r>
          </w:p>
        </w:tc>
      </w:tr>
      <w:tr w14:paraId="7503C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9" w:type="dxa"/>
            <w:tcBorders>
              <w:top w:val="single" w:color="auto" w:sz="4" w:space="0"/>
              <w:left w:val="single" w:color="auto" w:sz="4" w:space="0"/>
              <w:bottom w:val="single" w:color="auto" w:sz="4" w:space="0"/>
              <w:right w:val="single" w:color="auto" w:sz="4" w:space="0"/>
            </w:tcBorders>
            <w:vAlign w:val="center"/>
          </w:tcPr>
          <w:p w14:paraId="4FBEA9F2">
            <w:pPr>
              <w:jc w:val="center"/>
              <w:rPr>
                <w:rFonts w:eastAsia="仿宋_GB2312"/>
                <w:color w:val="auto"/>
                <w:sz w:val="28"/>
                <w:szCs w:val="28"/>
              </w:rPr>
            </w:pPr>
            <w:r>
              <w:rPr>
                <w:rFonts w:hint="eastAsia" w:eastAsia="仿宋_GB2312"/>
                <w:color w:val="auto"/>
                <w:sz w:val="28"/>
                <w:szCs w:val="28"/>
              </w:rPr>
              <w:t>7</w:t>
            </w:r>
          </w:p>
        </w:tc>
        <w:tc>
          <w:tcPr>
            <w:tcW w:w="1107" w:type="dxa"/>
            <w:tcBorders>
              <w:top w:val="single" w:color="auto" w:sz="4" w:space="0"/>
              <w:left w:val="single" w:color="auto" w:sz="4" w:space="0"/>
              <w:bottom w:val="single" w:color="auto" w:sz="4" w:space="0"/>
              <w:right w:val="single" w:color="auto" w:sz="4" w:space="0"/>
            </w:tcBorders>
            <w:vAlign w:val="center"/>
          </w:tcPr>
          <w:p w14:paraId="608A7F9B">
            <w:pPr>
              <w:jc w:val="center"/>
              <w:rPr>
                <w:rFonts w:eastAsia="仿宋_GB2312"/>
                <w:color w:val="auto"/>
                <w:sz w:val="28"/>
                <w:szCs w:val="28"/>
              </w:rPr>
            </w:pPr>
            <w:r>
              <w:rPr>
                <w:rFonts w:hint="eastAsia" w:eastAsia="仿宋_GB2312"/>
                <w:color w:val="auto"/>
                <w:sz w:val="28"/>
                <w:szCs w:val="28"/>
              </w:rPr>
              <w:t>李畅</w:t>
            </w:r>
          </w:p>
        </w:tc>
        <w:tc>
          <w:tcPr>
            <w:tcW w:w="840" w:type="dxa"/>
            <w:tcBorders>
              <w:top w:val="single" w:color="auto" w:sz="4" w:space="0"/>
              <w:left w:val="single" w:color="auto" w:sz="4" w:space="0"/>
              <w:bottom w:val="single" w:color="auto" w:sz="4" w:space="0"/>
              <w:right w:val="single" w:color="auto" w:sz="4" w:space="0"/>
            </w:tcBorders>
            <w:vAlign w:val="center"/>
          </w:tcPr>
          <w:p w14:paraId="3C4E3D38">
            <w:pPr>
              <w:jc w:val="center"/>
              <w:rPr>
                <w:rFonts w:eastAsia="仿宋_GB2312"/>
                <w:color w:val="auto"/>
                <w:sz w:val="28"/>
                <w:szCs w:val="28"/>
              </w:rPr>
            </w:pPr>
            <w:r>
              <w:rPr>
                <w:rFonts w:hint="eastAsia" w:eastAsia="仿宋_GB2312"/>
                <w:color w:val="auto"/>
                <w:sz w:val="28"/>
                <w:szCs w:val="28"/>
              </w:rPr>
              <w:t>女</w:t>
            </w:r>
          </w:p>
        </w:tc>
        <w:tc>
          <w:tcPr>
            <w:tcW w:w="1907" w:type="dxa"/>
            <w:tcBorders>
              <w:top w:val="single" w:color="auto" w:sz="4" w:space="0"/>
              <w:left w:val="single" w:color="auto" w:sz="4" w:space="0"/>
              <w:bottom w:val="single" w:color="auto" w:sz="4" w:space="0"/>
              <w:right w:val="single" w:color="auto" w:sz="4" w:space="0"/>
            </w:tcBorders>
            <w:vAlign w:val="center"/>
          </w:tcPr>
          <w:p w14:paraId="208F5401">
            <w:pPr>
              <w:jc w:val="center"/>
              <w:rPr>
                <w:rFonts w:eastAsia="仿宋_GB2312"/>
                <w:color w:val="auto"/>
                <w:sz w:val="28"/>
                <w:szCs w:val="28"/>
              </w:rPr>
            </w:pPr>
            <w:r>
              <w:rPr>
                <w:rFonts w:hint="eastAsia" w:eastAsia="仿宋_GB2312"/>
                <w:color w:val="auto"/>
                <w:sz w:val="28"/>
                <w:szCs w:val="28"/>
              </w:rPr>
              <w:t>讲师</w:t>
            </w:r>
          </w:p>
        </w:tc>
        <w:tc>
          <w:tcPr>
            <w:tcW w:w="3040" w:type="dxa"/>
            <w:tcBorders>
              <w:top w:val="single" w:color="auto" w:sz="4" w:space="0"/>
              <w:left w:val="single" w:color="auto" w:sz="4" w:space="0"/>
              <w:bottom w:val="single" w:color="auto" w:sz="4" w:space="0"/>
              <w:right w:val="single" w:color="auto" w:sz="4" w:space="0"/>
            </w:tcBorders>
            <w:vAlign w:val="center"/>
          </w:tcPr>
          <w:p w14:paraId="359668DB">
            <w:pPr>
              <w:jc w:val="center"/>
              <w:rPr>
                <w:rFonts w:eastAsia="仿宋_GB2312"/>
                <w:color w:val="auto"/>
                <w:sz w:val="28"/>
                <w:szCs w:val="28"/>
              </w:rPr>
            </w:pPr>
            <w:r>
              <w:rPr>
                <w:rFonts w:hint="eastAsia" w:eastAsia="仿宋_GB2312"/>
                <w:color w:val="auto"/>
                <w:sz w:val="28"/>
                <w:szCs w:val="28"/>
              </w:rPr>
              <w:t>江西环境工程学院</w:t>
            </w:r>
          </w:p>
        </w:tc>
        <w:tc>
          <w:tcPr>
            <w:tcW w:w="1506" w:type="dxa"/>
            <w:tcBorders>
              <w:top w:val="single" w:color="auto" w:sz="4" w:space="0"/>
              <w:left w:val="single" w:color="auto" w:sz="4" w:space="0"/>
              <w:bottom w:val="single" w:color="auto" w:sz="4" w:space="0"/>
              <w:right w:val="single" w:color="auto" w:sz="4" w:space="0"/>
            </w:tcBorders>
            <w:vAlign w:val="center"/>
          </w:tcPr>
          <w:p w14:paraId="66415FC4">
            <w:pPr>
              <w:jc w:val="center"/>
              <w:rPr>
                <w:rFonts w:eastAsia="仿宋_GB2312"/>
                <w:color w:val="auto"/>
                <w:sz w:val="28"/>
                <w:szCs w:val="28"/>
              </w:rPr>
            </w:pPr>
            <w:r>
              <w:rPr>
                <w:rFonts w:hint="eastAsia" w:eastAsia="仿宋_GB2312"/>
                <w:color w:val="auto"/>
                <w:sz w:val="28"/>
                <w:szCs w:val="28"/>
              </w:rPr>
              <w:t>试验实施</w:t>
            </w:r>
          </w:p>
        </w:tc>
      </w:tr>
      <w:tr w14:paraId="7700F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9" w:type="dxa"/>
            <w:tcBorders>
              <w:top w:val="single" w:color="auto" w:sz="4" w:space="0"/>
              <w:left w:val="single" w:color="auto" w:sz="4" w:space="0"/>
              <w:bottom w:val="single" w:color="auto" w:sz="4" w:space="0"/>
              <w:right w:val="single" w:color="auto" w:sz="4" w:space="0"/>
            </w:tcBorders>
            <w:vAlign w:val="center"/>
          </w:tcPr>
          <w:p w14:paraId="7475805C">
            <w:pPr>
              <w:jc w:val="center"/>
              <w:rPr>
                <w:rFonts w:eastAsia="仿宋_GB2312"/>
                <w:color w:val="auto"/>
                <w:sz w:val="28"/>
                <w:szCs w:val="28"/>
              </w:rPr>
            </w:pPr>
            <w:r>
              <w:rPr>
                <w:rFonts w:eastAsia="仿宋_GB2312"/>
                <w:color w:val="auto"/>
                <w:sz w:val="28"/>
                <w:szCs w:val="28"/>
              </w:rPr>
              <w:t>8</w:t>
            </w:r>
          </w:p>
        </w:tc>
        <w:tc>
          <w:tcPr>
            <w:tcW w:w="1107" w:type="dxa"/>
            <w:tcBorders>
              <w:top w:val="single" w:color="auto" w:sz="4" w:space="0"/>
              <w:left w:val="single" w:color="auto" w:sz="4" w:space="0"/>
              <w:bottom w:val="single" w:color="auto" w:sz="4" w:space="0"/>
              <w:right w:val="single" w:color="auto" w:sz="4" w:space="0"/>
            </w:tcBorders>
            <w:vAlign w:val="center"/>
          </w:tcPr>
          <w:p w14:paraId="5ACA51CA">
            <w:pPr>
              <w:jc w:val="center"/>
              <w:rPr>
                <w:rFonts w:eastAsia="仿宋_GB2312"/>
                <w:color w:val="auto"/>
                <w:sz w:val="28"/>
                <w:szCs w:val="28"/>
              </w:rPr>
            </w:pPr>
            <w:r>
              <w:rPr>
                <w:rFonts w:hint="eastAsia" w:eastAsia="仿宋_GB2312"/>
                <w:color w:val="auto"/>
                <w:sz w:val="28"/>
                <w:szCs w:val="28"/>
              </w:rPr>
              <w:t>胡绍平</w:t>
            </w:r>
          </w:p>
        </w:tc>
        <w:tc>
          <w:tcPr>
            <w:tcW w:w="840" w:type="dxa"/>
            <w:tcBorders>
              <w:top w:val="single" w:color="auto" w:sz="4" w:space="0"/>
              <w:left w:val="single" w:color="auto" w:sz="4" w:space="0"/>
              <w:bottom w:val="single" w:color="auto" w:sz="4" w:space="0"/>
              <w:right w:val="single" w:color="auto" w:sz="4" w:space="0"/>
            </w:tcBorders>
            <w:vAlign w:val="center"/>
          </w:tcPr>
          <w:p w14:paraId="1EB0A2B4">
            <w:pPr>
              <w:jc w:val="center"/>
              <w:rPr>
                <w:rFonts w:eastAsia="仿宋_GB2312"/>
                <w:color w:val="auto"/>
                <w:sz w:val="28"/>
                <w:szCs w:val="28"/>
              </w:rPr>
            </w:pPr>
            <w:r>
              <w:rPr>
                <w:rFonts w:hint="eastAsia" w:eastAsia="仿宋_GB2312"/>
                <w:color w:val="auto"/>
                <w:sz w:val="28"/>
                <w:szCs w:val="28"/>
              </w:rPr>
              <w:t>男</w:t>
            </w:r>
          </w:p>
        </w:tc>
        <w:tc>
          <w:tcPr>
            <w:tcW w:w="1907" w:type="dxa"/>
            <w:tcBorders>
              <w:top w:val="single" w:color="auto" w:sz="4" w:space="0"/>
              <w:left w:val="single" w:color="auto" w:sz="4" w:space="0"/>
              <w:bottom w:val="single" w:color="auto" w:sz="4" w:space="0"/>
              <w:right w:val="single" w:color="auto" w:sz="4" w:space="0"/>
            </w:tcBorders>
            <w:vAlign w:val="center"/>
          </w:tcPr>
          <w:p w14:paraId="795E9194">
            <w:pPr>
              <w:jc w:val="center"/>
              <w:rPr>
                <w:rFonts w:eastAsia="仿宋_GB2312"/>
                <w:color w:val="auto"/>
                <w:sz w:val="28"/>
                <w:szCs w:val="28"/>
              </w:rPr>
            </w:pPr>
            <w:r>
              <w:rPr>
                <w:rFonts w:hint="eastAsia" w:eastAsia="仿宋_GB2312"/>
                <w:color w:val="auto"/>
                <w:sz w:val="28"/>
                <w:szCs w:val="28"/>
              </w:rPr>
              <w:t>高级工程师</w:t>
            </w:r>
          </w:p>
        </w:tc>
        <w:tc>
          <w:tcPr>
            <w:tcW w:w="3040" w:type="dxa"/>
            <w:tcBorders>
              <w:top w:val="single" w:color="auto" w:sz="4" w:space="0"/>
              <w:left w:val="single" w:color="auto" w:sz="4" w:space="0"/>
              <w:bottom w:val="single" w:color="auto" w:sz="4" w:space="0"/>
              <w:right w:val="single" w:color="auto" w:sz="4" w:space="0"/>
            </w:tcBorders>
            <w:vAlign w:val="center"/>
          </w:tcPr>
          <w:p w14:paraId="3C03D1D4">
            <w:pPr>
              <w:jc w:val="center"/>
              <w:rPr>
                <w:rFonts w:eastAsia="仿宋_GB2312"/>
                <w:color w:val="auto"/>
                <w:sz w:val="28"/>
                <w:szCs w:val="28"/>
              </w:rPr>
            </w:pPr>
            <w:r>
              <w:rPr>
                <w:rFonts w:hint="eastAsia" w:eastAsia="仿宋_GB2312"/>
                <w:color w:val="auto"/>
                <w:sz w:val="28"/>
                <w:szCs w:val="28"/>
              </w:rPr>
              <w:t>信丰县林业发展中心</w:t>
            </w:r>
          </w:p>
        </w:tc>
        <w:tc>
          <w:tcPr>
            <w:tcW w:w="1506" w:type="dxa"/>
            <w:tcBorders>
              <w:top w:val="single" w:color="auto" w:sz="4" w:space="0"/>
              <w:left w:val="single" w:color="auto" w:sz="4" w:space="0"/>
              <w:bottom w:val="single" w:color="auto" w:sz="4" w:space="0"/>
              <w:right w:val="single" w:color="auto" w:sz="4" w:space="0"/>
            </w:tcBorders>
            <w:vAlign w:val="center"/>
          </w:tcPr>
          <w:p w14:paraId="79957D9D">
            <w:pPr>
              <w:jc w:val="center"/>
              <w:rPr>
                <w:rFonts w:eastAsia="仿宋_GB2312"/>
                <w:color w:val="auto"/>
                <w:sz w:val="28"/>
                <w:szCs w:val="28"/>
              </w:rPr>
            </w:pPr>
            <w:r>
              <w:rPr>
                <w:rFonts w:hint="eastAsia" w:eastAsia="仿宋_GB2312"/>
                <w:color w:val="auto"/>
                <w:sz w:val="28"/>
                <w:szCs w:val="28"/>
              </w:rPr>
              <w:t>试验实施</w:t>
            </w:r>
          </w:p>
        </w:tc>
      </w:tr>
      <w:tr w14:paraId="71500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9" w:type="dxa"/>
            <w:tcBorders>
              <w:top w:val="single" w:color="auto" w:sz="4" w:space="0"/>
              <w:left w:val="single" w:color="auto" w:sz="4" w:space="0"/>
              <w:bottom w:val="single" w:color="auto" w:sz="4" w:space="0"/>
              <w:right w:val="single" w:color="auto" w:sz="4" w:space="0"/>
            </w:tcBorders>
            <w:vAlign w:val="center"/>
          </w:tcPr>
          <w:p w14:paraId="7BA27398">
            <w:pPr>
              <w:jc w:val="center"/>
              <w:rPr>
                <w:rFonts w:eastAsia="仿宋_GB2312"/>
                <w:color w:val="auto"/>
                <w:sz w:val="28"/>
                <w:szCs w:val="28"/>
              </w:rPr>
            </w:pPr>
            <w:r>
              <w:rPr>
                <w:rFonts w:eastAsia="仿宋_GB2312"/>
                <w:color w:val="auto"/>
                <w:sz w:val="28"/>
                <w:szCs w:val="28"/>
              </w:rPr>
              <w:t>9</w:t>
            </w:r>
          </w:p>
        </w:tc>
        <w:tc>
          <w:tcPr>
            <w:tcW w:w="1107" w:type="dxa"/>
            <w:tcBorders>
              <w:top w:val="single" w:color="auto" w:sz="4" w:space="0"/>
              <w:left w:val="single" w:color="auto" w:sz="4" w:space="0"/>
              <w:bottom w:val="single" w:color="auto" w:sz="4" w:space="0"/>
              <w:right w:val="single" w:color="auto" w:sz="4" w:space="0"/>
            </w:tcBorders>
            <w:vAlign w:val="center"/>
          </w:tcPr>
          <w:p w14:paraId="2239886E">
            <w:pPr>
              <w:jc w:val="center"/>
              <w:rPr>
                <w:rFonts w:eastAsia="仿宋_GB2312"/>
                <w:color w:val="auto"/>
                <w:sz w:val="28"/>
                <w:szCs w:val="28"/>
              </w:rPr>
            </w:pPr>
            <w:r>
              <w:rPr>
                <w:rFonts w:hint="eastAsia" w:eastAsia="仿宋_GB2312"/>
                <w:color w:val="auto"/>
                <w:sz w:val="28"/>
                <w:szCs w:val="28"/>
              </w:rPr>
              <w:t>崔子佳</w:t>
            </w:r>
          </w:p>
        </w:tc>
        <w:tc>
          <w:tcPr>
            <w:tcW w:w="840" w:type="dxa"/>
            <w:tcBorders>
              <w:top w:val="single" w:color="auto" w:sz="4" w:space="0"/>
              <w:left w:val="single" w:color="auto" w:sz="4" w:space="0"/>
              <w:bottom w:val="single" w:color="auto" w:sz="4" w:space="0"/>
              <w:right w:val="single" w:color="auto" w:sz="4" w:space="0"/>
            </w:tcBorders>
            <w:vAlign w:val="center"/>
          </w:tcPr>
          <w:p w14:paraId="1433A155">
            <w:pPr>
              <w:jc w:val="center"/>
              <w:rPr>
                <w:color w:val="auto"/>
                <w:sz w:val="28"/>
                <w:szCs w:val="28"/>
              </w:rPr>
            </w:pPr>
            <w:r>
              <w:rPr>
                <w:rFonts w:hint="eastAsia" w:eastAsia="仿宋_GB2312"/>
                <w:color w:val="auto"/>
                <w:sz w:val="28"/>
                <w:szCs w:val="28"/>
              </w:rPr>
              <w:t>男</w:t>
            </w:r>
          </w:p>
        </w:tc>
        <w:tc>
          <w:tcPr>
            <w:tcW w:w="1907" w:type="dxa"/>
            <w:tcBorders>
              <w:top w:val="single" w:color="auto" w:sz="4" w:space="0"/>
              <w:left w:val="single" w:color="auto" w:sz="4" w:space="0"/>
              <w:bottom w:val="single" w:color="auto" w:sz="4" w:space="0"/>
              <w:right w:val="single" w:color="auto" w:sz="4" w:space="0"/>
            </w:tcBorders>
            <w:vAlign w:val="center"/>
          </w:tcPr>
          <w:p w14:paraId="1BC0E44A">
            <w:pPr>
              <w:jc w:val="center"/>
              <w:rPr>
                <w:rFonts w:eastAsia="仿宋_GB2312"/>
                <w:color w:val="auto"/>
                <w:sz w:val="28"/>
                <w:szCs w:val="28"/>
              </w:rPr>
            </w:pPr>
            <w:r>
              <w:rPr>
                <w:rFonts w:hint="eastAsia" w:eastAsia="仿宋_GB2312"/>
                <w:color w:val="auto"/>
                <w:sz w:val="28"/>
                <w:szCs w:val="28"/>
              </w:rPr>
              <w:t>讲师</w:t>
            </w:r>
          </w:p>
        </w:tc>
        <w:tc>
          <w:tcPr>
            <w:tcW w:w="3040" w:type="dxa"/>
            <w:tcBorders>
              <w:top w:val="single" w:color="auto" w:sz="4" w:space="0"/>
              <w:left w:val="single" w:color="auto" w:sz="4" w:space="0"/>
              <w:bottom w:val="single" w:color="auto" w:sz="4" w:space="0"/>
              <w:right w:val="single" w:color="auto" w:sz="4" w:space="0"/>
            </w:tcBorders>
            <w:vAlign w:val="center"/>
          </w:tcPr>
          <w:p w14:paraId="5202BD61">
            <w:pPr>
              <w:jc w:val="center"/>
              <w:rPr>
                <w:rFonts w:eastAsia="仿宋_GB2312"/>
                <w:color w:val="auto"/>
                <w:sz w:val="28"/>
                <w:szCs w:val="28"/>
              </w:rPr>
            </w:pPr>
            <w:r>
              <w:rPr>
                <w:rFonts w:hint="eastAsia" w:eastAsia="仿宋_GB2312"/>
                <w:color w:val="auto"/>
                <w:sz w:val="28"/>
                <w:szCs w:val="28"/>
              </w:rPr>
              <w:t>江西环境工程学院</w:t>
            </w:r>
          </w:p>
        </w:tc>
        <w:tc>
          <w:tcPr>
            <w:tcW w:w="1506" w:type="dxa"/>
            <w:tcBorders>
              <w:top w:val="single" w:color="auto" w:sz="4" w:space="0"/>
              <w:left w:val="single" w:color="auto" w:sz="4" w:space="0"/>
              <w:bottom w:val="single" w:color="auto" w:sz="4" w:space="0"/>
              <w:right w:val="single" w:color="auto" w:sz="4" w:space="0"/>
            </w:tcBorders>
            <w:vAlign w:val="center"/>
          </w:tcPr>
          <w:p w14:paraId="4E280B8D">
            <w:pPr>
              <w:jc w:val="center"/>
              <w:rPr>
                <w:rFonts w:eastAsia="仿宋_GB2312"/>
                <w:color w:val="auto"/>
                <w:sz w:val="28"/>
                <w:szCs w:val="28"/>
              </w:rPr>
            </w:pPr>
            <w:r>
              <w:rPr>
                <w:rFonts w:hint="eastAsia" w:eastAsia="仿宋_GB2312"/>
                <w:color w:val="auto"/>
                <w:sz w:val="28"/>
                <w:szCs w:val="28"/>
              </w:rPr>
              <w:t>试验实施</w:t>
            </w:r>
          </w:p>
        </w:tc>
      </w:tr>
      <w:tr w14:paraId="6B3A1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9" w:type="dxa"/>
            <w:tcBorders>
              <w:top w:val="single" w:color="auto" w:sz="4" w:space="0"/>
              <w:left w:val="single" w:color="auto" w:sz="4" w:space="0"/>
              <w:bottom w:val="single" w:color="auto" w:sz="4" w:space="0"/>
              <w:right w:val="single" w:color="auto" w:sz="4" w:space="0"/>
            </w:tcBorders>
            <w:vAlign w:val="center"/>
          </w:tcPr>
          <w:p w14:paraId="272FE758">
            <w:pPr>
              <w:jc w:val="center"/>
              <w:rPr>
                <w:rFonts w:eastAsia="仿宋_GB2312"/>
                <w:color w:val="auto"/>
                <w:sz w:val="28"/>
                <w:szCs w:val="28"/>
              </w:rPr>
            </w:pPr>
            <w:r>
              <w:rPr>
                <w:rFonts w:eastAsia="仿宋_GB2312"/>
                <w:color w:val="auto"/>
                <w:sz w:val="28"/>
                <w:szCs w:val="28"/>
              </w:rPr>
              <w:t>10</w:t>
            </w:r>
          </w:p>
        </w:tc>
        <w:tc>
          <w:tcPr>
            <w:tcW w:w="1107" w:type="dxa"/>
            <w:tcBorders>
              <w:top w:val="single" w:color="auto" w:sz="4" w:space="0"/>
              <w:left w:val="single" w:color="auto" w:sz="4" w:space="0"/>
              <w:bottom w:val="single" w:color="auto" w:sz="4" w:space="0"/>
              <w:right w:val="single" w:color="auto" w:sz="4" w:space="0"/>
            </w:tcBorders>
            <w:vAlign w:val="center"/>
          </w:tcPr>
          <w:p w14:paraId="73CAE6B8">
            <w:pPr>
              <w:jc w:val="center"/>
              <w:rPr>
                <w:rFonts w:eastAsia="仿宋_GB2312"/>
                <w:color w:val="auto"/>
                <w:sz w:val="28"/>
                <w:szCs w:val="28"/>
              </w:rPr>
            </w:pPr>
            <w:r>
              <w:rPr>
                <w:rFonts w:hint="eastAsia" w:eastAsia="仿宋_GB2312"/>
                <w:color w:val="auto"/>
                <w:sz w:val="28"/>
                <w:szCs w:val="28"/>
              </w:rPr>
              <w:t>黄文晖</w:t>
            </w:r>
          </w:p>
        </w:tc>
        <w:tc>
          <w:tcPr>
            <w:tcW w:w="840" w:type="dxa"/>
            <w:tcBorders>
              <w:top w:val="single" w:color="auto" w:sz="4" w:space="0"/>
              <w:left w:val="single" w:color="auto" w:sz="4" w:space="0"/>
              <w:bottom w:val="single" w:color="auto" w:sz="4" w:space="0"/>
              <w:right w:val="single" w:color="auto" w:sz="4" w:space="0"/>
            </w:tcBorders>
            <w:vAlign w:val="center"/>
          </w:tcPr>
          <w:p w14:paraId="4A02132F">
            <w:pPr>
              <w:jc w:val="center"/>
              <w:rPr>
                <w:color w:val="auto"/>
                <w:sz w:val="28"/>
                <w:szCs w:val="28"/>
              </w:rPr>
            </w:pPr>
            <w:r>
              <w:rPr>
                <w:rFonts w:hint="eastAsia" w:eastAsia="仿宋_GB2312"/>
                <w:color w:val="auto"/>
                <w:sz w:val="28"/>
                <w:szCs w:val="28"/>
              </w:rPr>
              <w:t>男</w:t>
            </w:r>
          </w:p>
        </w:tc>
        <w:tc>
          <w:tcPr>
            <w:tcW w:w="1907" w:type="dxa"/>
            <w:tcBorders>
              <w:top w:val="single" w:color="auto" w:sz="4" w:space="0"/>
              <w:left w:val="single" w:color="auto" w:sz="4" w:space="0"/>
              <w:bottom w:val="single" w:color="auto" w:sz="4" w:space="0"/>
              <w:right w:val="single" w:color="auto" w:sz="4" w:space="0"/>
            </w:tcBorders>
            <w:vAlign w:val="center"/>
          </w:tcPr>
          <w:p w14:paraId="4CA6D31B">
            <w:pPr>
              <w:jc w:val="center"/>
              <w:rPr>
                <w:rFonts w:eastAsia="仿宋_GB2312"/>
                <w:color w:val="auto"/>
                <w:sz w:val="28"/>
                <w:szCs w:val="28"/>
              </w:rPr>
            </w:pPr>
            <w:r>
              <w:rPr>
                <w:rFonts w:hint="eastAsia" w:eastAsia="仿宋_GB2312"/>
                <w:color w:val="auto"/>
                <w:sz w:val="28"/>
                <w:szCs w:val="28"/>
              </w:rPr>
              <w:t>高级工程师</w:t>
            </w:r>
          </w:p>
        </w:tc>
        <w:tc>
          <w:tcPr>
            <w:tcW w:w="3040" w:type="dxa"/>
            <w:tcBorders>
              <w:top w:val="single" w:color="auto" w:sz="4" w:space="0"/>
              <w:left w:val="single" w:color="auto" w:sz="4" w:space="0"/>
              <w:bottom w:val="single" w:color="auto" w:sz="4" w:space="0"/>
              <w:right w:val="single" w:color="auto" w:sz="4" w:space="0"/>
            </w:tcBorders>
            <w:vAlign w:val="center"/>
          </w:tcPr>
          <w:p w14:paraId="36FD9544">
            <w:pPr>
              <w:jc w:val="center"/>
              <w:rPr>
                <w:rFonts w:eastAsia="仿宋_GB2312"/>
                <w:color w:val="auto"/>
                <w:sz w:val="28"/>
                <w:szCs w:val="28"/>
              </w:rPr>
            </w:pPr>
            <w:r>
              <w:rPr>
                <w:rFonts w:hint="eastAsia" w:eastAsia="仿宋_GB2312"/>
                <w:color w:val="auto"/>
                <w:sz w:val="28"/>
                <w:szCs w:val="28"/>
              </w:rPr>
              <w:t>信丰县林业发展中心</w:t>
            </w:r>
          </w:p>
        </w:tc>
        <w:tc>
          <w:tcPr>
            <w:tcW w:w="1506" w:type="dxa"/>
            <w:tcBorders>
              <w:top w:val="single" w:color="auto" w:sz="4" w:space="0"/>
              <w:left w:val="single" w:color="auto" w:sz="4" w:space="0"/>
              <w:bottom w:val="single" w:color="auto" w:sz="4" w:space="0"/>
              <w:right w:val="single" w:color="auto" w:sz="4" w:space="0"/>
            </w:tcBorders>
            <w:vAlign w:val="center"/>
          </w:tcPr>
          <w:p w14:paraId="39541F1B">
            <w:pPr>
              <w:jc w:val="center"/>
              <w:rPr>
                <w:rFonts w:eastAsia="仿宋_GB2312"/>
                <w:color w:val="auto"/>
                <w:sz w:val="28"/>
                <w:szCs w:val="28"/>
              </w:rPr>
            </w:pPr>
            <w:r>
              <w:rPr>
                <w:rFonts w:hint="eastAsia" w:eastAsia="仿宋_GB2312"/>
                <w:color w:val="auto"/>
                <w:sz w:val="28"/>
                <w:szCs w:val="28"/>
              </w:rPr>
              <w:t>试验实施</w:t>
            </w:r>
          </w:p>
        </w:tc>
      </w:tr>
      <w:tr w14:paraId="7BCC4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9" w:type="dxa"/>
            <w:tcBorders>
              <w:top w:val="single" w:color="auto" w:sz="4" w:space="0"/>
              <w:left w:val="single" w:color="auto" w:sz="4" w:space="0"/>
              <w:bottom w:val="single" w:color="auto" w:sz="4" w:space="0"/>
              <w:right w:val="single" w:color="auto" w:sz="4" w:space="0"/>
            </w:tcBorders>
            <w:vAlign w:val="center"/>
          </w:tcPr>
          <w:p w14:paraId="2F1CB229">
            <w:pPr>
              <w:jc w:val="center"/>
              <w:rPr>
                <w:rFonts w:eastAsia="仿宋_GB2312"/>
                <w:color w:val="auto"/>
                <w:sz w:val="28"/>
                <w:szCs w:val="28"/>
              </w:rPr>
            </w:pPr>
            <w:r>
              <w:rPr>
                <w:rFonts w:eastAsia="仿宋_GB2312"/>
                <w:color w:val="auto"/>
                <w:sz w:val="28"/>
                <w:szCs w:val="28"/>
              </w:rPr>
              <w:t>11</w:t>
            </w:r>
          </w:p>
        </w:tc>
        <w:tc>
          <w:tcPr>
            <w:tcW w:w="1107" w:type="dxa"/>
            <w:tcBorders>
              <w:top w:val="single" w:color="auto" w:sz="4" w:space="0"/>
              <w:left w:val="single" w:color="auto" w:sz="4" w:space="0"/>
              <w:bottom w:val="single" w:color="auto" w:sz="4" w:space="0"/>
              <w:right w:val="single" w:color="auto" w:sz="4" w:space="0"/>
            </w:tcBorders>
            <w:vAlign w:val="center"/>
          </w:tcPr>
          <w:p w14:paraId="7AEBABBA">
            <w:pPr>
              <w:jc w:val="center"/>
              <w:rPr>
                <w:rFonts w:eastAsia="仿宋_GB2312"/>
                <w:color w:val="auto"/>
                <w:sz w:val="28"/>
                <w:szCs w:val="28"/>
              </w:rPr>
            </w:pPr>
            <w:r>
              <w:rPr>
                <w:rFonts w:hint="eastAsia" w:eastAsia="仿宋_GB2312"/>
                <w:color w:val="auto"/>
                <w:sz w:val="28"/>
                <w:szCs w:val="28"/>
              </w:rPr>
              <w:t>冯心阳</w:t>
            </w:r>
          </w:p>
        </w:tc>
        <w:tc>
          <w:tcPr>
            <w:tcW w:w="840" w:type="dxa"/>
            <w:tcBorders>
              <w:top w:val="single" w:color="auto" w:sz="4" w:space="0"/>
              <w:left w:val="single" w:color="auto" w:sz="4" w:space="0"/>
              <w:bottom w:val="single" w:color="auto" w:sz="4" w:space="0"/>
              <w:right w:val="single" w:color="auto" w:sz="4" w:space="0"/>
            </w:tcBorders>
            <w:vAlign w:val="center"/>
          </w:tcPr>
          <w:p w14:paraId="3E2800CC">
            <w:pPr>
              <w:jc w:val="center"/>
              <w:rPr>
                <w:color w:val="auto"/>
                <w:sz w:val="28"/>
                <w:szCs w:val="28"/>
              </w:rPr>
            </w:pPr>
            <w:r>
              <w:rPr>
                <w:rFonts w:hint="eastAsia" w:eastAsia="仿宋_GB2312"/>
                <w:color w:val="auto"/>
                <w:sz w:val="28"/>
                <w:szCs w:val="28"/>
              </w:rPr>
              <w:t>男</w:t>
            </w:r>
          </w:p>
        </w:tc>
        <w:tc>
          <w:tcPr>
            <w:tcW w:w="1907" w:type="dxa"/>
            <w:tcBorders>
              <w:top w:val="single" w:color="auto" w:sz="4" w:space="0"/>
              <w:left w:val="single" w:color="auto" w:sz="4" w:space="0"/>
              <w:bottom w:val="single" w:color="auto" w:sz="4" w:space="0"/>
              <w:right w:val="single" w:color="auto" w:sz="4" w:space="0"/>
            </w:tcBorders>
            <w:vAlign w:val="center"/>
          </w:tcPr>
          <w:p w14:paraId="1FB36043">
            <w:pPr>
              <w:jc w:val="center"/>
              <w:rPr>
                <w:rFonts w:eastAsia="仿宋_GB2312"/>
                <w:color w:val="auto"/>
                <w:sz w:val="28"/>
                <w:szCs w:val="28"/>
              </w:rPr>
            </w:pPr>
            <w:r>
              <w:rPr>
                <w:rFonts w:hint="eastAsia" w:eastAsia="仿宋_GB2312"/>
                <w:color w:val="auto"/>
                <w:sz w:val="28"/>
                <w:szCs w:val="28"/>
              </w:rPr>
              <w:t>助教</w:t>
            </w:r>
          </w:p>
        </w:tc>
        <w:tc>
          <w:tcPr>
            <w:tcW w:w="3040" w:type="dxa"/>
            <w:tcBorders>
              <w:top w:val="single" w:color="auto" w:sz="4" w:space="0"/>
              <w:left w:val="single" w:color="auto" w:sz="4" w:space="0"/>
              <w:bottom w:val="single" w:color="auto" w:sz="4" w:space="0"/>
              <w:right w:val="single" w:color="auto" w:sz="4" w:space="0"/>
            </w:tcBorders>
            <w:vAlign w:val="center"/>
          </w:tcPr>
          <w:p w14:paraId="3F80AF20">
            <w:pPr>
              <w:jc w:val="center"/>
              <w:rPr>
                <w:rFonts w:eastAsia="仿宋_GB2312"/>
                <w:color w:val="auto"/>
                <w:sz w:val="28"/>
                <w:szCs w:val="28"/>
              </w:rPr>
            </w:pPr>
            <w:r>
              <w:rPr>
                <w:rFonts w:hint="eastAsia" w:eastAsia="仿宋_GB2312"/>
                <w:color w:val="auto"/>
                <w:sz w:val="28"/>
                <w:szCs w:val="28"/>
              </w:rPr>
              <w:t>九江学院</w:t>
            </w:r>
          </w:p>
        </w:tc>
        <w:tc>
          <w:tcPr>
            <w:tcW w:w="1506" w:type="dxa"/>
            <w:tcBorders>
              <w:top w:val="single" w:color="auto" w:sz="4" w:space="0"/>
              <w:left w:val="single" w:color="auto" w:sz="4" w:space="0"/>
              <w:bottom w:val="single" w:color="auto" w:sz="4" w:space="0"/>
              <w:right w:val="single" w:color="auto" w:sz="4" w:space="0"/>
            </w:tcBorders>
            <w:vAlign w:val="center"/>
          </w:tcPr>
          <w:p w14:paraId="46CB2EB9">
            <w:pPr>
              <w:jc w:val="center"/>
              <w:rPr>
                <w:rFonts w:eastAsia="仿宋_GB2312"/>
                <w:color w:val="auto"/>
                <w:sz w:val="28"/>
                <w:szCs w:val="28"/>
              </w:rPr>
            </w:pPr>
            <w:r>
              <w:rPr>
                <w:rFonts w:hint="eastAsia" w:eastAsia="仿宋_GB2312"/>
                <w:color w:val="auto"/>
                <w:sz w:val="28"/>
                <w:szCs w:val="28"/>
              </w:rPr>
              <w:t>试验实施</w:t>
            </w:r>
          </w:p>
        </w:tc>
      </w:tr>
      <w:tr w14:paraId="65AEE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9" w:type="dxa"/>
            <w:tcBorders>
              <w:top w:val="single" w:color="auto" w:sz="4" w:space="0"/>
              <w:left w:val="single" w:color="auto" w:sz="4" w:space="0"/>
              <w:bottom w:val="single" w:color="auto" w:sz="4" w:space="0"/>
              <w:right w:val="single" w:color="auto" w:sz="4" w:space="0"/>
            </w:tcBorders>
            <w:vAlign w:val="center"/>
          </w:tcPr>
          <w:p w14:paraId="681AF785">
            <w:pPr>
              <w:jc w:val="center"/>
              <w:rPr>
                <w:rFonts w:eastAsia="仿宋_GB2312"/>
                <w:color w:val="auto"/>
                <w:sz w:val="28"/>
                <w:szCs w:val="28"/>
              </w:rPr>
            </w:pPr>
            <w:r>
              <w:rPr>
                <w:rFonts w:eastAsia="仿宋_GB2312"/>
                <w:color w:val="auto"/>
                <w:sz w:val="28"/>
                <w:szCs w:val="28"/>
              </w:rPr>
              <w:t>12</w:t>
            </w:r>
          </w:p>
        </w:tc>
        <w:tc>
          <w:tcPr>
            <w:tcW w:w="1107" w:type="dxa"/>
            <w:tcBorders>
              <w:top w:val="single" w:color="auto" w:sz="4" w:space="0"/>
              <w:left w:val="single" w:color="auto" w:sz="4" w:space="0"/>
              <w:bottom w:val="single" w:color="auto" w:sz="4" w:space="0"/>
              <w:right w:val="single" w:color="auto" w:sz="4" w:space="0"/>
            </w:tcBorders>
            <w:vAlign w:val="center"/>
          </w:tcPr>
          <w:p w14:paraId="6D9693A3">
            <w:pPr>
              <w:jc w:val="center"/>
              <w:rPr>
                <w:rFonts w:eastAsia="仿宋_GB2312"/>
                <w:color w:val="auto"/>
                <w:sz w:val="28"/>
                <w:szCs w:val="28"/>
              </w:rPr>
            </w:pPr>
            <w:r>
              <w:rPr>
                <w:rFonts w:hint="eastAsia" w:eastAsia="仿宋_GB2312"/>
                <w:color w:val="auto"/>
                <w:sz w:val="28"/>
                <w:szCs w:val="28"/>
              </w:rPr>
              <w:t>王荣</w:t>
            </w:r>
          </w:p>
        </w:tc>
        <w:tc>
          <w:tcPr>
            <w:tcW w:w="840" w:type="dxa"/>
            <w:tcBorders>
              <w:top w:val="single" w:color="auto" w:sz="4" w:space="0"/>
              <w:left w:val="single" w:color="auto" w:sz="4" w:space="0"/>
              <w:bottom w:val="single" w:color="auto" w:sz="4" w:space="0"/>
              <w:right w:val="single" w:color="auto" w:sz="4" w:space="0"/>
            </w:tcBorders>
            <w:vAlign w:val="center"/>
          </w:tcPr>
          <w:p w14:paraId="44AACAC0">
            <w:pPr>
              <w:jc w:val="center"/>
              <w:rPr>
                <w:color w:val="auto"/>
                <w:sz w:val="28"/>
                <w:szCs w:val="28"/>
              </w:rPr>
            </w:pPr>
            <w:r>
              <w:rPr>
                <w:rFonts w:hint="eastAsia" w:eastAsia="仿宋_GB2312"/>
                <w:color w:val="auto"/>
                <w:sz w:val="28"/>
                <w:szCs w:val="28"/>
              </w:rPr>
              <w:t>男</w:t>
            </w:r>
          </w:p>
        </w:tc>
        <w:tc>
          <w:tcPr>
            <w:tcW w:w="1907" w:type="dxa"/>
            <w:tcBorders>
              <w:top w:val="single" w:color="auto" w:sz="4" w:space="0"/>
              <w:left w:val="single" w:color="auto" w:sz="4" w:space="0"/>
              <w:bottom w:val="single" w:color="auto" w:sz="4" w:space="0"/>
              <w:right w:val="single" w:color="auto" w:sz="4" w:space="0"/>
            </w:tcBorders>
            <w:vAlign w:val="center"/>
          </w:tcPr>
          <w:p w14:paraId="67310F60">
            <w:pPr>
              <w:jc w:val="center"/>
              <w:rPr>
                <w:rFonts w:eastAsia="仿宋_GB2312"/>
                <w:color w:val="auto"/>
                <w:sz w:val="28"/>
                <w:szCs w:val="28"/>
              </w:rPr>
            </w:pPr>
            <w:r>
              <w:rPr>
                <w:rFonts w:hint="eastAsia" w:eastAsia="仿宋_GB2312"/>
                <w:color w:val="auto"/>
                <w:sz w:val="28"/>
                <w:szCs w:val="28"/>
              </w:rPr>
              <w:t>助理工程师</w:t>
            </w:r>
          </w:p>
        </w:tc>
        <w:tc>
          <w:tcPr>
            <w:tcW w:w="3040" w:type="dxa"/>
            <w:tcBorders>
              <w:top w:val="single" w:color="auto" w:sz="4" w:space="0"/>
              <w:left w:val="single" w:color="auto" w:sz="4" w:space="0"/>
              <w:bottom w:val="single" w:color="auto" w:sz="4" w:space="0"/>
              <w:right w:val="single" w:color="auto" w:sz="4" w:space="0"/>
            </w:tcBorders>
            <w:vAlign w:val="center"/>
          </w:tcPr>
          <w:p w14:paraId="6027B7BB">
            <w:pPr>
              <w:jc w:val="center"/>
              <w:rPr>
                <w:rFonts w:eastAsia="仿宋_GB2312"/>
                <w:color w:val="auto"/>
                <w:sz w:val="28"/>
                <w:szCs w:val="28"/>
              </w:rPr>
            </w:pPr>
            <w:r>
              <w:rPr>
                <w:rFonts w:hint="eastAsia" w:eastAsia="仿宋_GB2312"/>
                <w:color w:val="auto"/>
                <w:sz w:val="28"/>
                <w:szCs w:val="28"/>
              </w:rPr>
              <w:t>信丰县金盆山林场</w:t>
            </w:r>
          </w:p>
        </w:tc>
        <w:tc>
          <w:tcPr>
            <w:tcW w:w="1506" w:type="dxa"/>
            <w:tcBorders>
              <w:top w:val="single" w:color="auto" w:sz="4" w:space="0"/>
              <w:left w:val="single" w:color="auto" w:sz="4" w:space="0"/>
              <w:bottom w:val="single" w:color="auto" w:sz="4" w:space="0"/>
              <w:right w:val="single" w:color="auto" w:sz="4" w:space="0"/>
            </w:tcBorders>
            <w:vAlign w:val="center"/>
          </w:tcPr>
          <w:p w14:paraId="6EC06350">
            <w:pPr>
              <w:jc w:val="center"/>
              <w:rPr>
                <w:rFonts w:eastAsia="仿宋_GB2312"/>
                <w:color w:val="auto"/>
                <w:sz w:val="28"/>
                <w:szCs w:val="28"/>
              </w:rPr>
            </w:pPr>
            <w:r>
              <w:rPr>
                <w:rFonts w:hint="eastAsia" w:eastAsia="仿宋_GB2312"/>
                <w:color w:val="auto"/>
                <w:sz w:val="28"/>
                <w:szCs w:val="28"/>
              </w:rPr>
              <w:t>试验实施</w:t>
            </w:r>
          </w:p>
        </w:tc>
      </w:tr>
      <w:tr w14:paraId="3C6B2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9" w:type="dxa"/>
            <w:tcBorders>
              <w:top w:val="single" w:color="auto" w:sz="4" w:space="0"/>
              <w:left w:val="single" w:color="auto" w:sz="4" w:space="0"/>
              <w:bottom w:val="single" w:color="auto" w:sz="4" w:space="0"/>
              <w:right w:val="single" w:color="auto" w:sz="4" w:space="0"/>
            </w:tcBorders>
            <w:vAlign w:val="center"/>
          </w:tcPr>
          <w:p w14:paraId="00F527E0">
            <w:pPr>
              <w:jc w:val="center"/>
              <w:rPr>
                <w:rFonts w:eastAsia="仿宋_GB2312"/>
                <w:color w:val="auto"/>
                <w:sz w:val="28"/>
                <w:szCs w:val="28"/>
              </w:rPr>
            </w:pPr>
            <w:r>
              <w:rPr>
                <w:rFonts w:eastAsia="仿宋_GB2312"/>
                <w:color w:val="auto"/>
                <w:sz w:val="28"/>
                <w:szCs w:val="28"/>
              </w:rPr>
              <w:t>13</w:t>
            </w:r>
          </w:p>
        </w:tc>
        <w:tc>
          <w:tcPr>
            <w:tcW w:w="1107" w:type="dxa"/>
            <w:tcBorders>
              <w:top w:val="single" w:color="auto" w:sz="4" w:space="0"/>
              <w:left w:val="single" w:color="auto" w:sz="4" w:space="0"/>
              <w:bottom w:val="single" w:color="auto" w:sz="4" w:space="0"/>
              <w:right w:val="single" w:color="auto" w:sz="4" w:space="0"/>
            </w:tcBorders>
            <w:vAlign w:val="center"/>
          </w:tcPr>
          <w:p w14:paraId="58076895">
            <w:pPr>
              <w:jc w:val="center"/>
              <w:rPr>
                <w:rFonts w:eastAsia="仿宋_GB2312"/>
                <w:color w:val="auto"/>
                <w:sz w:val="28"/>
                <w:szCs w:val="28"/>
              </w:rPr>
            </w:pPr>
            <w:r>
              <w:rPr>
                <w:rFonts w:hint="eastAsia" w:eastAsia="仿宋_GB2312"/>
                <w:color w:val="auto"/>
                <w:sz w:val="28"/>
                <w:szCs w:val="28"/>
              </w:rPr>
              <w:t>肖永有</w:t>
            </w:r>
          </w:p>
        </w:tc>
        <w:tc>
          <w:tcPr>
            <w:tcW w:w="840" w:type="dxa"/>
            <w:tcBorders>
              <w:top w:val="single" w:color="auto" w:sz="4" w:space="0"/>
              <w:left w:val="single" w:color="auto" w:sz="4" w:space="0"/>
              <w:bottom w:val="single" w:color="auto" w:sz="4" w:space="0"/>
              <w:right w:val="single" w:color="auto" w:sz="4" w:space="0"/>
            </w:tcBorders>
            <w:vAlign w:val="center"/>
          </w:tcPr>
          <w:p w14:paraId="2F43FC6A">
            <w:pPr>
              <w:jc w:val="center"/>
              <w:rPr>
                <w:rFonts w:hint="eastAsia" w:eastAsia="宋体"/>
                <w:color w:val="auto"/>
                <w:sz w:val="28"/>
                <w:szCs w:val="28"/>
                <w:lang w:val="en-US" w:eastAsia="zh-CN"/>
              </w:rPr>
            </w:pPr>
            <w:r>
              <w:rPr>
                <w:rFonts w:hint="eastAsia"/>
                <w:color w:val="auto"/>
                <w:sz w:val="28"/>
                <w:szCs w:val="28"/>
                <w:lang w:val="en-US" w:eastAsia="zh-CN"/>
              </w:rPr>
              <w:t>男</w:t>
            </w:r>
          </w:p>
        </w:tc>
        <w:tc>
          <w:tcPr>
            <w:tcW w:w="1907" w:type="dxa"/>
            <w:tcBorders>
              <w:top w:val="single" w:color="auto" w:sz="4" w:space="0"/>
              <w:left w:val="single" w:color="auto" w:sz="4" w:space="0"/>
              <w:bottom w:val="single" w:color="auto" w:sz="4" w:space="0"/>
              <w:right w:val="single" w:color="auto" w:sz="4" w:space="0"/>
            </w:tcBorders>
            <w:vAlign w:val="center"/>
          </w:tcPr>
          <w:p w14:paraId="5E373D1B">
            <w:pPr>
              <w:jc w:val="center"/>
              <w:rPr>
                <w:rFonts w:hint="default" w:eastAsia="仿宋_GB2312"/>
                <w:color w:val="auto"/>
                <w:sz w:val="28"/>
                <w:szCs w:val="28"/>
                <w:lang w:val="en-US" w:eastAsia="zh-CN"/>
              </w:rPr>
            </w:pPr>
            <w:r>
              <w:rPr>
                <w:rFonts w:hint="eastAsia" w:eastAsia="仿宋_GB2312"/>
                <w:color w:val="auto"/>
                <w:sz w:val="28"/>
                <w:szCs w:val="28"/>
              </w:rPr>
              <w:t>高级工程师</w:t>
            </w:r>
          </w:p>
        </w:tc>
        <w:tc>
          <w:tcPr>
            <w:tcW w:w="3040" w:type="dxa"/>
            <w:tcBorders>
              <w:top w:val="single" w:color="auto" w:sz="4" w:space="0"/>
              <w:left w:val="single" w:color="auto" w:sz="4" w:space="0"/>
              <w:bottom w:val="single" w:color="auto" w:sz="4" w:space="0"/>
              <w:right w:val="single" w:color="auto" w:sz="4" w:space="0"/>
            </w:tcBorders>
            <w:vAlign w:val="center"/>
          </w:tcPr>
          <w:p w14:paraId="08302368">
            <w:pPr>
              <w:jc w:val="center"/>
              <w:rPr>
                <w:rFonts w:eastAsia="仿宋_GB2312"/>
                <w:color w:val="auto"/>
                <w:sz w:val="28"/>
                <w:szCs w:val="28"/>
              </w:rPr>
            </w:pPr>
            <w:r>
              <w:rPr>
                <w:rFonts w:hint="eastAsia" w:eastAsia="仿宋_GB2312"/>
                <w:color w:val="auto"/>
                <w:sz w:val="28"/>
                <w:szCs w:val="28"/>
                <w:lang w:val="en-US" w:eastAsia="zh-CN"/>
              </w:rPr>
              <w:t>崇义县林业局</w:t>
            </w:r>
          </w:p>
        </w:tc>
        <w:tc>
          <w:tcPr>
            <w:tcW w:w="1506" w:type="dxa"/>
            <w:tcBorders>
              <w:top w:val="single" w:color="auto" w:sz="4" w:space="0"/>
              <w:left w:val="single" w:color="auto" w:sz="4" w:space="0"/>
              <w:bottom w:val="single" w:color="auto" w:sz="4" w:space="0"/>
              <w:right w:val="single" w:color="auto" w:sz="4" w:space="0"/>
            </w:tcBorders>
            <w:vAlign w:val="center"/>
          </w:tcPr>
          <w:p w14:paraId="39CB0427">
            <w:pPr>
              <w:jc w:val="center"/>
              <w:rPr>
                <w:rFonts w:eastAsia="仿宋_GB2312"/>
                <w:color w:val="auto"/>
                <w:sz w:val="28"/>
                <w:szCs w:val="28"/>
              </w:rPr>
            </w:pPr>
            <w:r>
              <w:rPr>
                <w:rFonts w:hint="eastAsia" w:eastAsia="仿宋_GB2312"/>
                <w:color w:val="auto"/>
                <w:sz w:val="28"/>
                <w:szCs w:val="28"/>
              </w:rPr>
              <w:t>试验实施</w:t>
            </w:r>
          </w:p>
        </w:tc>
      </w:tr>
      <w:tr w14:paraId="16BE4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9" w:type="dxa"/>
            <w:tcBorders>
              <w:top w:val="single" w:color="auto" w:sz="4" w:space="0"/>
              <w:left w:val="single" w:color="auto" w:sz="4" w:space="0"/>
              <w:bottom w:val="single" w:color="auto" w:sz="4" w:space="0"/>
              <w:right w:val="single" w:color="auto" w:sz="4" w:space="0"/>
            </w:tcBorders>
            <w:vAlign w:val="center"/>
          </w:tcPr>
          <w:p w14:paraId="76F3FD01">
            <w:pPr>
              <w:jc w:val="center"/>
              <w:rPr>
                <w:rFonts w:eastAsia="仿宋_GB2312"/>
                <w:color w:val="auto"/>
                <w:sz w:val="28"/>
                <w:szCs w:val="28"/>
              </w:rPr>
            </w:pPr>
            <w:r>
              <w:rPr>
                <w:rFonts w:eastAsia="仿宋_GB2312"/>
                <w:color w:val="auto"/>
                <w:sz w:val="28"/>
                <w:szCs w:val="28"/>
              </w:rPr>
              <w:t>14</w:t>
            </w:r>
          </w:p>
        </w:tc>
        <w:tc>
          <w:tcPr>
            <w:tcW w:w="1107" w:type="dxa"/>
            <w:tcBorders>
              <w:top w:val="single" w:color="auto" w:sz="4" w:space="0"/>
              <w:left w:val="single" w:color="auto" w:sz="4" w:space="0"/>
              <w:bottom w:val="single" w:color="auto" w:sz="4" w:space="0"/>
              <w:right w:val="single" w:color="auto" w:sz="4" w:space="0"/>
            </w:tcBorders>
            <w:shd w:val="clear" w:color="auto" w:fill="auto"/>
            <w:vAlign w:val="center"/>
          </w:tcPr>
          <w:p w14:paraId="093E1770">
            <w:pPr>
              <w:jc w:val="center"/>
              <w:rPr>
                <w:rFonts w:ascii="Times New Roman" w:hAnsi="Times New Roman" w:eastAsia="仿宋_GB2312" w:cs="Times New Roman"/>
                <w:color w:val="auto"/>
                <w:kern w:val="2"/>
                <w:sz w:val="28"/>
                <w:szCs w:val="28"/>
                <w:lang w:val="en-US" w:eastAsia="zh-CN" w:bidi="ar-SA"/>
                <w14:ligatures w14:val="none"/>
              </w:rPr>
            </w:pPr>
            <w:r>
              <w:rPr>
                <w:rFonts w:hint="eastAsia" w:eastAsia="仿宋_GB2312"/>
                <w:color w:val="auto"/>
                <w:sz w:val="28"/>
                <w:szCs w:val="28"/>
              </w:rPr>
              <w:t>巫锦清</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2E15D1C5">
            <w:pPr>
              <w:jc w:val="center"/>
              <w:rPr>
                <w:rFonts w:ascii="Times New Roman" w:hAnsi="Times New Roman" w:eastAsia="宋体" w:cs="Times New Roman"/>
                <w:color w:val="auto"/>
                <w:kern w:val="2"/>
                <w:sz w:val="28"/>
                <w:szCs w:val="28"/>
                <w:lang w:val="en-US" w:eastAsia="zh-CN" w:bidi="ar-SA"/>
                <w14:ligatures w14:val="none"/>
              </w:rPr>
            </w:pPr>
            <w:r>
              <w:rPr>
                <w:rFonts w:hint="eastAsia" w:eastAsia="仿宋_GB2312"/>
                <w:color w:val="auto"/>
                <w:sz w:val="28"/>
                <w:szCs w:val="28"/>
              </w:rPr>
              <w:t>男</w:t>
            </w:r>
          </w:p>
        </w:tc>
        <w:tc>
          <w:tcPr>
            <w:tcW w:w="1907" w:type="dxa"/>
            <w:tcBorders>
              <w:top w:val="single" w:color="auto" w:sz="4" w:space="0"/>
              <w:left w:val="single" w:color="auto" w:sz="4" w:space="0"/>
              <w:bottom w:val="single" w:color="auto" w:sz="4" w:space="0"/>
              <w:right w:val="single" w:color="auto" w:sz="4" w:space="0"/>
            </w:tcBorders>
            <w:shd w:val="clear" w:color="auto" w:fill="auto"/>
            <w:vAlign w:val="center"/>
          </w:tcPr>
          <w:p w14:paraId="161D413E">
            <w:pPr>
              <w:jc w:val="center"/>
              <w:rPr>
                <w:rFonts w:ascii="Times New Roman" w:hAnsi="Times New Roman" w:eastAsia="仿宋_GB2312" w:cs="Times New Roman"/>
                <w:color w:val="auto"/>
                <w:kern w:val="2"/>
                <w:sz w:val="28"/>
                <w:szCs w:val="28"/>
                <w:lang w:val="en-US" w:eastAsia="zh-CN" w:bidi="ar-SA"/>
                <w14:ligatures w14:val="none"/>
              </w:rPr>
            </w:pPr>
            <w:r>
              <w:rPr>
                <w:rFonts w:hint="eastAsia" w:eastAsia="仿宋_GB2312"/>
                <w:color w:val="auto"/>
                <w:sz w:val="28"/>
                <w:szCs w:val="28"/>
              </w:rPr>
              <w:t>助理工程师</w:t>
            </w:r>
          </w:p>
        </w:tc>
        <w:tc>
          <w:tcPr>
            <w:tcW w:w="3040" w:type="dxa"/>
            <w:tcBorders>
              <w:top w:val="single" w:color="auto" w:sz="4" w:space="0"/>
              <w:left w:val="single" w:color="auto" w:sz="4" w:space="0"/>
              <w:bottom w:val="single" w:color="auto" w:sz="4" w:space="0"/>
              <w:right w:val="single" w:color="auto" w:sz="4" w:space="0"/>
            </w:tcBorders>
            <w:shd w:val="clear" w:color="auto" w:fill="auto"/>
            <w:vAlign w:val="center"/>
          </w:tcPr>
          <w:p w14:paraId="7B5CB6B8">
            <w:pPr>
              <w:jc w:val="center"/>
              <w:rPr>
                <w:rFonts w:ascii="Times New Roman" w:hAnsi="Times New Roman" w:eastAsia="仿宋_GB2312" w:cs="Times New Roman"/>
                <w:color w:val="auto"/>
                <w:kern w:val="2"/>
                <w:sz w:val="28"/>
                <w:szCs w:val="28"/>
                <w:lang w:val="en-US" w:eastAsia="zh-CN" w:bidi="ar-SA"/>
                <w14:ligatures w14:val="none"/>
              </w:rPr>
            </w:pPr>
            <w:r>
              <w:rPr>
                <w:rFonts w:hint="eastAsia" w:eastAsia="仿宋_GB2312"/>
                <w:color w:val="auto"/>
                <w:sz w:val="28"/>
                <w:szCs w:val="28"/>
              </w:rPr>
              <w:t>信丰县金盆山林场</w:t>
            </w:r>
          </w:p>
        </w:tc>
        <w:tc>
          <w:tcPr>
            <w:tcW w:w="1506" w:type="dxa"/>
            <w:tcBorders>
              <w:top w:val="single" w:color="auto" w:sz="4" w:space="0"/>
              <w:left w:val="single" w:color="auto" w:sz="4" w:space="0"/>
              <w:bottom w:val="single" w:color="auto" w:sz="4" w:space="0"/>
              <w:right w:val="single" w:color="auto" w:sz="4" w:space="0"/>
            </w:tcBorders>
            <w:shd w:val="clear" w:color="auto" w:fill="auto"/>
            <w:vAlign w:val="center"/>
          </w:tcPr>
          <w:p w14:paraId="2EDAB0D3">
            <w:pPr>
              <w:jc w:val="center"/>
              <w:rPr>
                <w:rFonts w:ascii="Times New Roman" w:hAnsi="Times New Roman" w:eastAsia="仿宋_GB2312" w:cs="Times New Roman"/>
                <w:color w:val="auto"/>
                <w:kern w:val="2"/>
                <w:sz w:val="28"/>
                <w:szCs w:val="28"/>
                <w:lang w:val="en-US" w:eastAsia="zh-CN" w:bidi="ar-SA"/>
                <w14:ligatures w14:val="none"/>
              </w:rPr>
            </w:pPr>
            <w:r>
              <w:rPr>
                <w:rFonts w:hint="eastAsia" w:eastAsia="仿宋_GB2312"/>
                <w:color w:val="auto"/>
                <w:sz w:val="28"/>
                <w:szCs w:val="28"/>
              </w:rPr>
              <w:t>试验实施</w:t>
            </w:r>
          </w:p>
        </w:tc>
      </w:tr>
      <w:tr w14:paraId="3A23A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9" w:type="dxa"/>
            <w:tcBorders>
              <w:top w:val="single" w:color="auto" w:sz="4" w:space="0"/>
              <w:left w:val="single" w:color="auto" w:sz="4" w:space="0"/>
              <w:bottom w:val="single" w:color="auto" w:sz="4" w:space="0"/>
              <w:right w:val="single" w:color="auto" w:sz="4" w:space="0"/>
            </w:tcBorders>
            <w:vAlign w:val="center"/>
          </w:tcPr>
          <w:p w14:paraId="015240EA">
            <w:pPr>
              <w:jc w:val="center"/>
              <w:rPr>
                <w:rFonts w:eastAsia="仿宋_GB2312"/>
                <w:color w:val="auto"/>
                <w:sz w:val="28"/>
                <w:szCs w:val="28"/>
              </w:rPr>
            </w:pPr>
            <w:r>
              <w:rPr>
                <w:rFonts w:hint="eastAsia" w:eastAsia="仿宋_GB2312"/>
                <w:color w:val="auto"/>
                <w:sz w:val="28"/>
                <w:szCs w:val="28"/>
              </w:rPr>
              <w:t>15</w:t>
            </w:r>
          </w:p>
        </w:tc>
        <w:tc>
          <w:tcPr>
            <w:tcW w:w="1107" w:type="dxa"/>
            <w:tcBorders>
              <w:top w:val="single" w:color="auto" w:sz="4" w:space="0"/>
              <w:left w:val="single" w:color="auto" w:sz="4" w:space="0"/>
              <w:bottom w:val="single" w:color="auto" w:sz="4" w:space="0"/>
              <w:right w:val="single" w:color="auto" w:sz="4" w:space="0"/>
            </w:tcBorders>
            <w:shd w:val="clear" w:color="auto" w:fill="auto"/>
            <w:vAlign w:val="center"/>
          </w:tcPr>
          <w:p w14:paraId="4B90F0DA">
            <w:pPr>
              <w:jc w:val="center"/>
              <w:rPr>
                <w:rFonts w:hint="eastAsia" w:ascii="Times New Roman" w:hAnsi="Times New Roman" w:eastAsia="仿宋_GB2312" w:cs="Times New Roman"/>
                <w:color w:val="auto"/>
                <w:kern w:val="2"/>
                <w:sz w:val="28"/>
                <w:szCs w:val="28"/>
                <w:lang w:val="en-US" w:eastAsia="zh-CN" w:bidi="ar-SA"/>
                <w14:ligatures w14:val="none"/>
              </w:rPr>
            </w:pPr>
            <w:r>
              <w:rPr>
                <w:rFonts w:hint="eastAsia" w:eastAsia="仿宋_GB2312"/>
                <w:color w:val="auto"/>
                <w:sz w:val="28"/>
                <w:szCs w:val="28"/>
              </w:rPr>
              <w:t>龚循胜</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1274BC9B">
            <w:pPr>
              <w:jc w:val="center"/>
              <w:rPr>
                <w:rFonts w:hint="eastAsia" w:ascii="Times New Roman" w:hAnsi="Times New Roman" w:eastAsia="宋体" w:cs="Times New Roman"/>
                <w:color w:val="auto"/>
                <w:kern w:val="2"/>
                <w:sz w:val="28"/>
                <w:szCs w:val="28"/>
                <w:lang w:val="en-US" w:eastAsia="zh-CN" w:bidi="ar-SA"/>
                <w14:ligatures w14:val="none"/>
              </w:rPr>
            </w:pPr>
            <w:r>
              <w:rPr>
                <w:rFonts w:hint="eastAsia" w:eastAsia="仿宋_GB2312"/>
                <w:color w:val="auto"/>
                <w:sz w:val="28"/>
                <w:szCs w:val="28"/>
              </w:rPr>
              <w:t>男</w:t>
            </w:r>
          </w:p>
        </w:tc>
        <w:tc>
          <w:tcPr>
            <w:tcW w:w="1907" w:type="dxa"/>
            <w:tcBorders>
              <w:top w:val="single" w:color="auto" w:sz="4" w:space="0"/>
              <w:left w:val="single" w:color="auto" w:sz="4" w:space="0"/>
              <w:bottom w:val="single" w:color="auto" w:sz="4" w:space="0"/>
              <w:right w:val="single" w:color="auto" w:sz="4" w:space="0"/>
            </w:tcBorders>
            <w:shd w:val="clear" w:color="auto" w:fill="auto"/>
            <w:vAlign w:val="center"/>
          </w:tcPr>
          <w:p w14:paraId="23744A58">
            <w:pPr>
              <w:jc w:val="center"/>
              <w:rPr>
                <w:rFonts w:hint="eastAsia" w:ascii="Times New Roman" w:hAnsi="Times New Roman" w:eastAsia="仿宋_GB2312" w:cs="Times New Roman"/>
                <w:color w:val="auto"/>
                <w:kern w:val="2"/>
                <w:sz w:val="28"/>
                <w:szCs w:val="28"/>
                <w:lang w:val="en-US" w:eastAsia="zh-CN" w:bidi="ar-SA"/>
                <w14:ligatures w14:val="none"/>
              </w:rPr>
            </w:pPr>
            <w:r>
              <w:rPr>
                <w:rFonts w:hint="eastAsia" w:eastAsia="仿宋_GB2312"/>
                <w:color w:val="auto"/>
                <w:sz w:val="28"/>
                <w:szCs w:val="28"/>
              </w:rPr>
              <w:t>高级工程师</w:t>
            </w:r>
          </w:p>
        </w:tc>
        <w:tc>
          <w:tcPr>
            <w:tcW w:w="3040" w:type="dxa"/>
            <w:tcBorders>
              <w:top w:val="single" w:color="auto" w:sz="4" w:space="0"/>
              <w:left w:val="single" w:color="auto" w:sz="4" w:space="0"/>
              <w:bottom w:val="single" w:color="auto" w:sz="4" w:space="0"/>
              <w:right w:val="single" w:color="auto" w:sz="4" w:space="0"/>
            </w:tcBorders>
            <w:shd w:val="clear" w:color="auto" w:fill="auto"/>
            <w:vAlign w:val="center"/>
          </w:tcPr>
          <w:p w14:paraId="3F54E91C">
            <w:pPr>
              <w:jc w:val="center"/>
              <w:rPr>
                <w:rFonts w:hint="eastAsia" w:ascii="Times New Roman" w:hAnsi="Times New Roman" w:eastAsia="仿宋_GB2312" w:cs="Times New Roman"/>
                <w:color w:val="auto"/>
                <w:kern w:val="2"/>
                <w:sz w:val="28"/>
                <w:szCs w:val="28"/>
                <w:lang w:val="en-US" w:eastAsia="zh-CN" w:bidi="ar-SA"/>
                <w14:ligatures w14:val="none"/>
              </w:rPr>
            </w:pPr>
            <w:r>
              <w:rPr>
                <w:rFonts w:hint="eastAsia" w:eastAsia="仿宋_GB2312"/>
                <w:color w:val="auto"/>
                <w:sz w:val="28"/>
                <w:szCs w:val="28"/>
              </w:rPr>
              <w:t>信丰县金盆山林场</w:t>
            </w:r>
          </w:p>
        </w:tc>
        <w:tc>
          <w:tcPr>
            <w:tcW w:w="1506" w:type="dxa"/>
            <w:tcBorders>
              <w:top w:val="single" w:color="auto" w:sz="4" w:space="0"/>
              <w:left w:val="single" w:color="auto" w:sz="4" w:space="0"/>
              <w:bottom w:val="single" w:color="auto" w:sz="4" w:space="0"/>
              <w:right w:val="single" w:color="auto" w:sz="4" w:space="0"/>
            </w:tcBorders>
            <w:shd w:val="clear" w:color="auto" w:fill="auto"/>
            <w:vAlign w:val="center"/>
          </w:tcPr>
          <w:p w14:paraId="377FBA87">
            <w:pPr>
              <w:jc w:val="center"/>
              <w:rPr>
                <w:rFonts w:hint="eastAsia" w:ascii="Times New Roman" w:hAnsi="Times New Roman" w:eastAsia="仿宋_GB2312" w:cs="Times New Roman"/>
                <w:color w:val="auto"/>
                <w:kern w:val="2"/>
                <w:sz w:val="28"/>
                <w:szCs w:val="28"/>
                <w:lang w:val="en-US" w:eastAsia="zh-CN" w:bidi="ar-SA"/>
                <w14:ligatures w14:val="none"/>
              </w:rPr>
            </w:pPr>
            <w:r>
              <w:rPr>
                <w:rFonts w:hint="eastAsia" w:eastAsia="仿宋_GB2312"/>
                <w:color w:val="auto"/>
                <w:sz w:val="28"/>
                <w:szCs w:val="28"/>
              </w:rPr>
              <w:t>试验实施</w:t>
            </w:r>
          </w:p>
        </w:tc>
      </w:tr>
      <w:tr w14:paraId="31539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9" w:type="dxa"/>
            <w:tcBorders>
              <w:top w:val="single" w:color="auto" w:sz="4" w:space="0"/>
              <w:left w:val="single" w:color="auto" w:sz="4" w:space="0"/>
              <w:bottom w:val="single" w:color="auto" w:sz="4" w:space="0"/>
              <w:right w:val="single" w:color="auto" w:sz="4" w:space="0"/>
            </w:tcBorders>
            <w:vAlign w:val="center"/>
          </w:tcPr>
          <w:p w14:paraId="06869134">
            <w:pPr>
              <w:jc w:val="center"/>
              <w:rPr>
                <w:rFonts w:eastAsia="仿宋_GB2312"/>
                <w:color w:val="auto"/>
                <w:sz w:val="28"/>
                <w:szCs w:val="28"/>
              </w:rPr>
            </w:pPr>
            <w:r>
              <w:rPr>
                <w:rFonts w:eastAsia="仿宋_GB2312"/>
                <w:color w:val="auto"/>
                <w:sz w:val="28"/>
                <w:szCs w:val="28"/>
              </w:rPr>
              <w:t>1</w:t>
            </w:r>
            <w:r>
              <w:rPr>
                <w:rFonts w:hint="eastAsia" w:eastAsia="仿宋_GB2312"/>
                <w:color w:val="auto"/>
                <w:sz w:val="28"/>
                <w:szCs w:val="28"/>
              </w:rPr>
              <w:t>6</w:t>
            </w:r>
          </w:p>
        </w:tc>
        <w:tc>
          <w:tcPr>
            <w:tcW w:w="1107" w:type="dxa"/>
            <w:tcBorders>
              <w:top w:val="single" w:color="auto" w:sz="4" w:space="0"/>
              <w:left w:val="single" w:color="auto" w:sz="4" w:space="0"/>
              <w:bottom w:val="single" w:color="auto" w:sz="4" w:space="0"/>
              <w:right w:val="single" w:color="auto" w:sz="4" w:space="0"/>
            </w:tcBorders>
            <w:shd w:val="clear" w:color="auto" w:fill="auto"/>
            <w:vAlign w:val="center"/>
          </w:tcPr>
          <w:p w14:paraId="737D243F">
            <w:pPr>
              <w:jc w:val="center"/>
              <w:rPr>
                <w:rFonts w:hint="eastAsia" w:ascii="Times New Roman" w:hAnsi="Times New Roman" w:eastAsia="仿宋_GB2312" w:cs="Times New Roman"/>
                <w:color w:val="auto"/>
                <w:kern w:val="2"/>
                <w:sz w:val="28"/>
                <w:szCs w:val="28"/>
                <w:lang w:val="en-US" w:eastAsia="zh-CN" w:bidi="ar-SA"/>
                <w14:ligatures w14:val="none"/>
              </w:rPr>
            </w:pPr>
            <w:r>
              <w:rPr>
                <w:rFonts w:hint="eastAsia" w:eastAsia="仿宋_GB2312"/>
                <w:color w:val="auto"/>
                <w:sz w:val="28"/>
                <w:szCs w:val="28"/>
              </w:rPr>
              <w:t>王盼</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22E4731C">
            <w:pPr>
              <w:jc w:val="center"/>
              <w:rPr>
                <w:rFonts w:hint="eastAsia" w:ascii="Times New Roman" w:hAnsi="Times New Roman" w:eastAsia="宋体" w:cs="Times New Roman"/>
                <w:color w:val="auto"/>
                <w:kern w:val="2"/>
                <w:sz w:val="28"/>
                <w:szCs w:val="28"/>
                <w:lang w:val="en-US" w:eastAsia="zh-CN" w:bidi="ar-SA"/>
                <w14:ligatures w14:val="none"/>
              </w:rPr>
            </w:pPr>
            <w:r>
              <w:rPr>
                <w:rFonts w:hint="eastAsia" w:eastAsia="仿宋_GB2312"/>
                <w:color w:val="auto"/>
                <w:sz w:val="28"/>
                <w:szCs w:val="28"/>
              </w:rPr>
              <w:t>男</w:t>
            </w:r>
          </w:p>
        </w:tc>
        <w:tc>
          <w:tcPr>
            <w:tcW w:w="1907" w:type="dxa"/>
            <w:tcBorders>
              <w:top w:val="single" w:color="auto" w:sz="4" w:space="0"/>
              <w:left w:val="single" w:color="auto" w:sz="4" w:space="0"/>
              <w:bottom w:val="single" w:color="auto" w:sz="4" w:space="0"/>
              <w:right w:val="single" w:color="auto" w:sz="4" w:space="0"/>
            </w:tcBorders>
            <w:shd w:val="clear" w:color="auto" w:fill="auto"/>
            <w:vAlign w:val="center"/>
          </w:tcPr>
          <w:p w14:paraId="3120B424">
            <w:pPr>
              <w:jc w:val="center"/>
              <w:rPr>
                <w:rFonts w:hint="eastAsia" w:ascii="Times New Roman" w:hAnsi="Times New Roman" w:eastAsia="仿宋_GB2312" w:cs="Times New Roman"/>
                <w:color w:val="auto"/>
                <w:kern w:val="2"/>
                <w:sz w:val="28"/>
                <w:szCs w:val="28"/>
                <w:lang w:val="en-US" w:eastAsia="zh-CN" w:bidi="ar-SA"/>
                <w14:ligatures w14:val="none"/>
              </w:rPr>
            </w:pPr>
            <w:r>
              <w:rPr>
                <w:rFonts w:hint="eastAsia" w:eastAsia="仿宋_GB2312"/>
                <w:color w:val="auto"/>
                <w:sz w:val="28"/>
                <w:szCs w:val="28"/>
                <w:lang w:val="en-US" w:eastAsia="zh-CN"/>
              </w:rPr>
              <w:t>讲师</w:t>
            </w:r>
          </w:p>
        </w:tc>
        <w:tc>
          <w:tcPr>
            <w:tcW w:w="3040" w:type="dxa"/>
            <w:tcBorders>
              <w:top w:val="single" w:color="auto" w:sz="4" w:space="0"/>
              <w:left w:val="single" w:color="auto" w:sz="4" w:space="0"/>
              <w:bottom w:val="single" w:color="auto" w:sz="4" w:space="0"/>
              <w:right w:val="single" w:color="auto" w:sz="4" w:space="0"/>
            </w:tcBorders>
            <w:shd w:val="clear" w:color="auto" w:fill="auto"/>
            <w:vAlign w:val="center"/>
          </w:tcPr>
          <w:p w14:paraId="4EABA10B">
            <w:pPr>
              <w:jc w:val="center"/>
              <w:rPr>
                <w:rFonts w:hint="eastAsia" w:ascii="Times New Roman" w:hAnsi="Times New Roman" w:eastAsia="仿宋_GB2312" w:cs="Times New Roman"/>
                <w:color w:val="auto"/>
                <w:kern w:val="2"/>
                <w:sz w:val="28"/>
                <w:szCs w:val="28"/>
                <w:lang w:val="en-US" w:eastAsia="zh-CN" w:bidi="ar-SA"/>
                <w14:ligatures w14:val="none"/>
              </w:rPr>
            </w:pPr>
            <w:r>
              <w:rPr>
                <w:rFonts w:hint="eastAsia" w:eastAsia="仿宋_GB2312"/>
                <w:color w:val="auto"/>
                <w:sz w:val="28"/>
                <w:szCs w:val="28"/>
              </w:rPr>
              <w:t>江西环境工程学院</w:t>
            </w:r>
          </w:p>
        </w:tc>
        <w:tc>
          <w:tcPr>
            <w:tcW w:w="1506" w:type="dxa"/>
            <w:tcBorders>
              <w:top w:val="single" w:color="auto" w:sz="4" w:space="0"/>
              <w:left w:val="single" w:color="auto" w:sz="4" w:space="0"/>
              <w:bottom w:val="single" w:color="auto" w:sz="4" w:space="0"/>
              <w:right w:val="single" w:color="auto" w:sz="4" w:space="0"/>
            </w:tcBorders>
            <w:shd w:val="clear" w:color="auto" w:fill="auto"/>
            <w:vAlign w:val="center"/>
          </w:tcPr>
          <w:p w14:paraId="294E0647">
            <w:pPr>
              <w:jc w:val="center"/>
              <w:rPr>
                <w:rFonts w:hint="eastAsia" w:ascii="Times New Roman" w:hAnsi="Times New Roman" w:eastAsia="仿宋_GB2312" w:cs="Times New Roman"/>
                <w:color w:val="auto"/>
                <w:kern w:val="2"/>
                <w:sz w:val="28"/>
                <w:szCs w:val="28"/>
                <w:lang w:val="en-US" w:eastAsia="zh-CN" w:bidi="ar-SA"/>
                <w14:ligatures w14:val="none"/>
              </w:rPr>
            </w:pPr>
            <w:r>
              <w:rPr>
                <w:rFonts w:hint="eastAsia" w:eastAsia="仿宋_GB2312"/>
                <w:color w:val="auto"/>
                <w:sz w:val="28"/>
                <w:szCs w:val="28"/>
              </w:rPr>
              <w:t>试验实施</w:t>
            </w:r>
          </w:p>
        </w:tc>
      </w:tr>
      <w:tr w14:paraId="2283F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9" w:type="dxa"/>
            <w:tcBorders>
              <w:top w:val="single" w:color="auto" w:sz="4" w:space="0"/>
              <w:left w:val="single" w:color="auto" w:sz="4" w:space="0"/>
              <w:bottom w:val="single" w:color="auto" w:sz="4" w:space="0"/>
              <w:right w:val="single" w:color="auto" w:sz="4" w:space="0"/>
            </w:tcBorders>
            <w:vAlign w:val="center"/>
          </w:tcPr>
          <w:p w14:paraId="14970C27">
            <w:pPr>
              <w:jc w:val="center"/>
              <w:rPr>
                <w:rFonts w:eastAsia="仿宋_GB2312"/>
                <w:color w:val="auto"/>
                <w:sz w:val="28"/>
                <w:szCs w:val="28"/>
              </w:rPr>
            </w:pPr>
            <w:r>
              <w:rPr>
                <w:rFonts w:hint="eastAsia" w:eastAsia="仿宋_GB2312"/>
                <w:color w:val="auto"/>
                <w:sz w:val="28"/>
                <w:szCs w:val="28"/>
              </w:rPr>
              <w:t>17</w:t>
            </w:r>
          </w:p>
        </w:tc>
        <w:tc>
          <w:tcPr>
            <w:tcW w:w="1107" w:type="dxa"/>
            <w:tcBorders>
              <w:top w:val="single" w:color="auto" w:sz="4" w:space="0"/>
              <w:left w:val="single" w:color="auto" w:sz="4" w:space="0"/>
              <w:bottom w:val="single" w:color="auto" w:sz="4" w:space="0"/>
              <w:right w:val="single" w:color="auto" w:sz="4" w:space="0"/>
            </w:tcBorders>
            <w:shd w:val="clear" w:color="auto" w:fill="auto"/>
            <w:vAlign w:val="center"/>
          </w:tcPr>
          <w:p w14:paraId="01B9EF37">
            <w:pPr>
              <w:jc w:val="center"/>
              <w:rPr>
                <w:rFonts w:ascii="Times New Roman" w:hAnsi="Times New Roman" w:eastAsia="仿宋_GB2312" w:cs="Times New Roman"/>
                <w:color w:val="auto"/>
                <w:kern w:val="2"/>
                <w:sz w:val="28"/>
                <w:szCs w:val="28"/>
                <w:lang w:val="en-US" w:eastAsia="zh-CN" w:bidi="ar-SA"/>
                <w14:ligatures w14:val="none"/>
              </w:rPr>
            </w:pPr>
            <w:r>
              <w:rPr>
                <w:rFonts w:hint="eastAsia" w:ascii="Times New Roman" w:hAnsi="Times New Roman" w:eastAsia="仿宋_GB2312" w:cs="Times New Roman"/>
                <w:color w:val="auto"/>
                <w:kern w:val="2"/>
                <w:sz w:val="28"/>
                <w:szCs w:val="28"/>
                <w:lang w:val="en-US" w:eastAsia="zh-CN" w:bidi="ar-SA"/>
                <w14:ligatures w14:val="none"/>
              </w:rPr>
              <w:t>欧米那</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551AC98D">
            <w:pPr>
              <w:jc w:val="center"/>
              <w:rPr>
                <w:rFonts w:hint="default" w:ascii="Times New Roman" w:hAnsi="Times New Roman" w:eastAsia="宋体" w:cs="Times New Roman"/>
                <w:color w:val="auto"/>
                <w:kern w:val="2"/>
                <w:sz w:val="28"/>
                <w:szCs w:val="28"/>
                <w:lang w:val="en-US" w:eastAsia="zh-CN" w:bidi="ar-SA"/>
                <w14:ligatures w14:val="none"/>
              </w:rPr>
            </w:pPr>
            <w:r>
              <w:rPr>
                <w:rFonts w:hint="eastAsia" w:cs="Times New Roman"/>
                <w:color w:val="auto"/>
                <w:kern w:val="2"/>
                <w:sz w:val="28"/>
                <w:szCs w:val="28"/>
                <w:lang w:val="en-US" w:eastAsia="zh-CN" w:bidi="ar-SA"/>
                <w14:ligatures w14:val="none"/>
              </w:rPr>
              <w:t>女</w:t>
            </w:r>
          </w:p>
        </w:tc>
        <w:tc>
          <w:tcPr>
            <w:tcW w:w="1907" w:type="dxa"/>
            <w:tcBorders>
              <w:top w:val="single" w:color="auto" w:sz="4" w:space="0"/>
              <w:left w:val="single" w:color="auto" w:sz="4" w:space="0"/>
              <w:bottom w:val="single" w:color="auto" w:sz="4" w:space="0"/>
              <w:right w:val="single" w:color="auto" w:sz="4" w:space="0"/>
            </w:tcBorders>
            <w:shd w:val="clear" w:color="auto" w:fill="auto"/>
            <w:vAlign w:val="center"/>
          </w:tcPr>
          <w:p w14:paraId="7FB30561">
            <w:pPr>
              <w:jc w:val="center"/>
              <w:rPr>
                <w:rFonts w:ascii="Times New Roman" w:hAnsi="Times New Roman" w:eastAsia="仿宋_GB2312" w:cs="Times New Roman"/>
                <w:color w:val="auto"/>
                <w:kern w:val="2"/>
                <w:sz w:val="28"/>
                <w:szCs w:val="28"/>
                <w:lang w:val="en-US" w:eastAsia="zh-CN" w:bidi="ar-SA"/>
                <w14:ligatures w14:val="none"/>
              </w:rPr>
            </w:pPr>
            <w:r>
              <w:rPr>
                <w:rFonts w:hint="eastAsia" w:eastAsia="仿宋_GB2312"/>
                <w:color w:val="auto"/>
                <w:sz w:val="28"/>
                <w:szCs w:val="28"/>
              </w:rPr>
              <w:t>技术员</w:t>
            </w:r>
          </w:p>
        </w:tc>
        <w:tc>
          <w:tcPr>
            <w:tcW w:w="3040" w:type="dxa"/>
            <w:tcBorders>
              <w:top w:val="single" w:color="auto" w:sz="4" w:space="0"/>
              <w:left w:val="single" w:color="auto" w:sz="4" w:space="0"/>
              <w:bottom w:val="single" w:color="auto" w:sz="4" w:space="0"/>
              <w:right w:val="single" w:color="auto" w:sz="4" w:space="0"/>
            </w:tcBorders>
            <w:shd w:val="clear" w:color="auto" w:fill="auto"/>
            <w:vAlign w:val="center"/>
          </w:tcPr>
          <w:p w14:paraId="11E2654F">
            <w:pPr>
              <w:jc w:val="center"/>
              <w:rPr>
                <w:rFonts w:ascii="Times New Roman" w:hAnsi="Times New Roman" w:eastAsia="仿宋_GB2312" w:cs="Times New Roman"/>
                <w:color w:val="auto"/>
                <w:kern w:val="2"/>
                <w:sz w:val="28"/>
                <w:szCs w:val="28"/>
                <w:lang w:val="en-US" w:eastAsia="zh-CN" w:bidi="ar-SA"/>
                <w14:ligatures w14:val="none"/>
              </w:rPr>
            </w:pPr>
            <w:r>
              <w:rPr>
                <w:rFonts w:hint="eastAsia" w:eastAsia="仿宋_GB2312"/>
                <w:color w:val="auto"/>
                <w:sz w:val="28"/>
                <w:szCs w:val="28"/>
              </w:rPr>
              <w:t>赣州市森源科技种苗场</w:t>
            </w:r>
          </w:p>
        </w:tc>
        <w:tc>
          <w:tcPr>
            <w:tcW w:w="1506" w:type="dxa"/>
            <w:tcBorders>
              <w:top w:val="single" w:color="auto" w:sz="4" w:space="0"/>
              <w:left w:val="single" w:color="auto" w:sz="4" w:space="0"/>
              <w:bottom w:val="single" w:color="auto" w:sz="4" w:space="0"/>
              <w:right w:val="single" w:color="auto" w:sz="4" w:space="0"/>
            </w:tcBorders>
            <w:shd w:val="clear" w:color="auto" w:fill="auto"/>
            <w:vAlign w:val="center"/>
          </w:tcPr>
          <w:p w14:paraId="35553FF9">
            <w:pPr>
              <w:jc w:val="center"/>
              <w:rPr>
                <w:rFonts w:ascii="Times New Roman" w:hAnsi="Times New Roman" w:eastAsia="仿宋_GB2312" w:cs="Times New Roman"/>
                <w:color w:val="auto"/>
                <w:kern w:val="2"/>
                <w:sz w:val="28"/>
                <w:szCs w:val="28"/>
                <w:lang w:val="en-US" w:eastAsia="zh-CN" w:bidi="ar-SA"/>
                <w14:ligatures w14:val="none"/>
              </w:rPr>
            </w:pPr>
            <w:r>
              <w:rPr>
                <w:rFonts w:hint="eastAsia" w:eastAsia="仿宋_GB2312"/>
                <w:color w:val="auto"/>
                <w:sz w:val="28"/>
                <w:szCs w:val="28"/>
              </w:rPr>
              <w:t>试验实施</w:t>
            </w:r>
          </w:p>
        </w:tc>
      </w:tr>
      <w:tr w14:paraId="6EA38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9" w:type="dxa"/>
            <w:tcBorders>
              <w:top w:val="single" w:color="auto" w:sz="4" w:space="0"/>
              <w:left w:val="single" w:color="auto" w:sz="4" w:space="0"/>
              <w:bottom w:val="single" w:color="auto" w:sz="4" w:space="0"/>
              <w:right w:val="single" w:color="auto" w:sz="4" w:space="0"/>
            </w:tcBorders>
            <w:vAlign w:val="center"/>
          </w:tcPr>
          <w:p w14:paraId="01FF02F6">
            <w:pPr>
              <w:jc w:val="center"/>
              <w:rPr>
                <w:rFonts w:eastAsia="仿宋_GB2312"/>
                <w:color w:val="auto"/>
                <w:sz w:val="28"/>
                <w:szCs w:val="28"/>
              </w:rPr>
            </w:pPr>
            <w:r>
              <w:rPr>
                <w:rFonts w:eastAsia="仿宋_GB2312"/>
                <w:color w:val="auto"/>
                <w:sz w:val="28"/>
                <w:szCs w:val="28"/>
              </w:rPr>
              <w:t>1</w:t>
            </w:r>
            <w:r>
              <w:rPr>
                <w:rFonts w:hint="eastAsia" w:eastAsia="仿宋_GB2312"/>
                <w:color w:val="auto"/>
                <w:sz w:val="28"/>
                <w:szCs w:val="28"/>
              </w:rPr>
              <w:t>8</w:t>
            </w:r>
          </w:p>
        </w:tc>
        <w:tc>
          <w:tcPr>
            <w:tcW w:w="1107" w:type="dxa"/>
            <w:tcBorders>
              <w:top w:val="single" w:color="auto" w:sz="4" w:space="0"/>
              <w:left w:val="single" w:color="auto" w:sz="4" w:space="0"/>
              <w:bottom w:val="single" w:color="auto" w:sz="4" w:space="0"/>
              <w:right w:val="single" w:color="auto" w:sz="4" w:space="0"/>
            </w:tcBorders>
            <w:shd w:val="clear" w:color="auto" w:fill="auto"/>
            <w:vAlign w:val="center"/>
          </w:tcPr>
          <w:p w14:paraId="2F214F91">
            <w:pPr>
              <w:jc w:val="center"/>
              <w:rPr>
                <w:rFonts w:ascii="Times New Roman" w:hAnsi="Times New Roman" w:eastAsia="仿宋_GB2312" w:cs="Times New Roman"/>
                <w:color w:val="auto"/>
                <w:kern w:val="2"/>
                <w:sz w:val="28"/>
                <w:szCs w:val="28"/>
                <w:lang w:val="en-US" w:eastAsia="zh-CN" w:bidi="ar-SA"/>
                <w14:ligatures w14:val="none"/>
              </w:rPr>
            </w:pPr>
            <w:r>
              <w:rPr>
                <w:rFonts w:hint="eastAsia" w:ascii="Times New Roman" w:hAnsi="Times New Roman" w:eastAsia="仿宋_GB2312" w:cs="Times New Roman"/>
                <w:color w:val="auto"/>
                <w:kern w:val="2"/>
                <w:sz w:val="28"/>
                <w:szCs w:val="28"/>
                <w:lang w:val="en-US" w:eastAsia="zh-CN" w:bidi="ar-SA"/>
                <w14:ligatures w14:val="none"/>
              </w:rPr>
              <w:t>欧悦</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2BF629FF">
            <w:pPr>
              <w:jc w:val="center"/>
              <w:rPr>
                <w:rFonts w:ascii="Times New Roman" w:hAnsi="Times New Roman" w:eastAsia="宋体" w:cs="Times New Roman"/>
                <w:color w:val="auto"/>
                <w:kern w:val="2"/>
                <w:sz w:val="28"/>
                <w:szCs w:val="28"/>
                <w:lang w:val="en-US" w:eastAsia="zh-CN" w:bidi="ar-SA"/>
                <w14:ligatures w14:val="none"/>
              </w:rPr>
            </w:pPr>
            <w:r>
              <w:rPr>
                <w:rFonts w:hint="eastAsia" w:cs="Times New Roman"/>
                <w:color w:val="auto"/>
                <w:kern w:val="2"/>
                <w:sz w:val="28"/>
                <w:szCs w:val="28"/>
                <w:lang w:val="en-US" w:eastAsia="zh-CN" w:bidi="ar-SA"/>
                <w14:ligatures w14:val="none"/>
              </w:rPr>
              <w:t>女</w:t>
            </w:r>
          </w:p>
        </w:tc>
        <w:tc>
          <w:tcPr>
            <w:tcW w:w="1907" w:type="dxa"/>
            <w:tcBorders>
              <w:top w:val="single" w:color="auto" w:sz="4" w:space="0"/>
              <w:left w:val="single" w:color="auto" w:sz="4" w:space="0"/>
              <w:bottom w:val="single" w:color="auto" w:sz="4" w:space="0"/>
              <w:right w:val="single" w:color="auto" w:sz="4" w:space="0"/>
            </w:tcBorders>
            <w:shd w:val="clear" w:color="auto" w:fill="auto"/>
            <w:vAlign w:val="center"/>
          </w:tcPr>
          <w:p w14:paraId="1DB5EE96">
            <w:pPr>
              <w:jc w:val="center"/>
              <w:rPr>
                <w:rFonts w:ascii="Times New Roman" w:hAnsi="Times New Roman" w:eastAsia="仿宋_GB2312" w:cs="Times New Roman"/>
                <w:color w:val="auto"/>
                <w:kern w:val="2"/>
                <w:sz w:val="28"/>
                <w:szCs w:val="28"/>
                <w:lang w:val="en-US" w:eastAsia="zh-CN" w:bidi="ar-SA"/>
                <w14:ligatures w14:val="none"/>
              </w:rPr>
            </w:pPr>
            <w:r>
              <w:rPr>
                <w:rFonts w:hint="eastAsia" w:eastAsia="仿宋_GB2312"/>
                <w:color w:val="auto"/>
                <w:sz w:val="28"/>
                <w:szCs w:val="28"/>
              </w:rPr>
              <w:t>助理工程师</w:t>
            </w:r>
          </w:p>
        </w:tc>
        <w:tc>
          <w:tcPr>
            <w:tcW w:w="3040" w:type="dxa"/>
            <w:tcBorders>
              <w:top w:val="single" w:color="auto" w:sz="4" w:space="0"/>
              <w:left w:val="single" w:color="auto" w:sz="4" w:space="0"/>
              <w:bottom w:val="single" w:color="auto" w:sz="4" w:space="0"/>
              <w:right w:val="single" w:color="auto" w:sz="4" w:space="0"/>
            </w:tcBorders>
            <w:shd w:val="clear" w:color="auto" w:fill="auto"/>
            <w:vAlign w:val="center"/>
          </w:tcPr>
          <w:p w14:paraId="678EA6E3">
            <w:pPr>
              <w:jc w:val="center"/>
              <w:rPr>
                <w:rFonts w:ascii="Times New Roman" w:hAnsi="Times New Roman" w:eastAsia="仿宋_GB2312" w:cs="Times New Roman"/>
                <w:color w:val="auto"/>
                <w:kern w:val="2"/>
                <w:sz w:val="28"/>
                <w:szCs w:val="28"/>
                <w:lang w:val="en-US" w:eastAsia="zh-CN" w:bidi="ar-SA"/>
                <w14:ligatures w14:val="none"/>
              </w:rPr>
            </w:pPr>
            <w:r>
              <w:rPr>
                <w:rFonts w:hint="eastAsia" w:eastAsia="仿宋_GB2312"/>
                <w:color w:val="auto"/>
                <w:sz w:val="28"/>
                <w:szCs w:val="28"/>
              </w:rPr>
              <w:t>赣州市森源科技种苗场</w:t>
            </w:r>
          </w:p>
        </w:tc>
        <w:tc>
          <w:tcPr>
            <w:tcW w:w="1506" w:type="dxa"/>
            <w:tcBorders>
              <w:top w:val="single" w:color="auto" w:sz="4" w:space="0"/>
              <w:left w:val="single" w:color="auto" w:sz="4" w:space="0"/>
              <w:bottom w:val="single" w:color="auto" w:sz="4" w:space="0"/>
              <w:right w:val="single" w:color="auto" w:sz="4" w:space="0"/>
            </w:tcBorders>
            <w:shd w:val="clear" w:color="auto" w:fill="auto"/>
            <w:vAlign w:val="center"/>
          </w:tcPr>
          <w:p w14:paraId="66A54DB8">
            <w:pPr>
              <w:jc w:val="center"/>
              <w:rPr>
                <w:rFonts w:ascii="Times New Roman" w:hAnsi="Times New Roman" w:eastAsia="仿宋_GB2312" w:cs="Times New Roman"/>
                <w:color w:val="auto"/>
                <w:kern w:val="2"/>
                <w:sz w:val="28"/>
                <w:szCs w:val="28"/>
                <w:lang w:val="en-US" w:eastAsia="zh-CN" w:bidi="ar-SA"/>
                <w14:ligatures w14:val="none"/>
              </w:rPr>
            </w:pPr>
            <w:r>
              <w:rPr>
                <w:rFonts w:hint="eastAsia" w:eastAsia="仿宋_GB2312"/>
                <w:color w:val="auto"/>
                <w:sz w:val="28"/>
                <w:szCs w:val="28"/>
              </w:rPr>
              <w:t>试验实施</w:t>
            </w:r>
          </w:p>
        </w:tc>
      </w:tr>
      <w:tr w14:paraId="5AF07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9" w:type="dxa"/>
            <w:tcBorders>
              <w:top w:val="single" w:color="auto" w:sz="4" w:space="0"/>
              <w:left w:val="single" w:color="auto" w:sz="4" w:space="0"/>
              <w:bottom w:val="single" w:color="auto" w:sz="4" w:space="0"/>
              <w:right w:val="single" w:color="auto" w:sz="4" w:space="0"/>
            </w:tcBorders>
            <w:vAlign w:val="center"/>
          </w:tcPr>
          <w:p w14:paraId="1218675B">
            <w:pPr>
              <w:jc w:val="center"/>
              <w:rPr>
                <w:rFonts w:eastAsia="仿宋_GB2312"/>
                <w:color w:val="auto"/>
                <w:sz w:val="28"/>
                <w:szCs w:val="28"/>
              </w:rPr>
            </w:pPr>
            <w:r>
              <w:rPr>
                <w:rFonts w:hint="eastAsia" w:eastAsia="仿宋_GB2312"/>
                <w:color w:val="auto"/>
                <w:sz w:val="28"/>
                <w:szCs w:val="28"/>
              </w:rPr>
              <w:t>19</w:t>
            </w:r>
          </w:p>
        </w:tc>
        <w:tc>
          <w:tcPr>
            <w:tcW w:w="1107" w:type="dxa"/>
            <w:tcBorders>
              <w:top w:val="single" w:color="auto" w:sz="4" w:space="0"/>
              <w:left w:val="single" w:color="auto" w:sz="4" w:space="0"/>
              <w:bottom w:val="single" w:color="auto" w:sz="4" w:space="0"/>
              <w:right w:val="single" w:color="auto" w:sz="4" w:space="0"/>
            </w:tcBorders>
            <w:shd w:val="clear" w:color="auto" w:fill="auto"/>
            <w:vAlign w:val="center"/>
          </w:tcPr>
          <w:p w14:paraId="4D41C3A2">
            <w:pPr>
              <w:jc w:val="center"/>
              <w:rPr>
                <w:rFonts w:hint="eastAsia" w:ascii="Times New Roman" w:hAnsi="Times New Roman" w:eastAsia="仿宋_GB2312" w:cs="Times New Roman"/>
                <w:color w:val="auto"/>
                <w:kern w:val="2"/>
                <w:sz w:val="28"/>
                <w:szCs w:val="28"/>
                <w:lang w:val="en-US" w:eastAsia="zh-CN" w:bidi="ar-SA"/>
                <w14:ligatures w14:val="none"/>
              </w:rPr>
            </w:pPr>
            <w:r>
              <w:rPr>
                <w:rFonts w:hint="eastAsia" w:eastAsia="仿宋_GB2312"/>
                <w:color w:val="auto"/>
                <w:sz w:val="28"/>
                <w:szCs w:val="28"/>
              </w:rPr>
              <w:t>邹健</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6EFAF2D1">
            <w:pPr>
              <w:jc w:val="center"/>
              <w:rPr>
                <w:rFonts w:hint="eastAsia" w:ascii="Times New Roman" w:hAnsi="Times New Roman" w:eastAsia="仿宋_GB2312" w:cs="Times New Roman"/>
                <w:color w:val="auto"/>
                <w:kern w:val="2"/>
                <w:sz w:val="28"/>
                <w:szCs w:val="28"/>
                <w:lang w:val="en-US" w:eastAsia="zh-CN" w:bidi="ar-SA"/>
                <w14:ligatures w14:val="none"/>
              </w:rPr>
            </w:pPr>
            <w:r>
              <w:rPr>
                <w:rFonts w:hint="eastAsia" w:eastAsia="仿宋_GB2312"/>
                <w:color w:val="auto"/>
                <w:sz w:val="28"/>
                <w:szCs w:val="28"/>
              </w:rPr>
              <w:t>男</w:t>
            </w:r>
          </w:p>
        </w:tc>
        <w:tc>
          <w:tcPr>
            <w:tcW w:w="1907" w:type="dxa"/>
            <w:tcBorders>
              <w:top w:val="single" w:color="auto" w:sz="4" w:space="0"/>
              <w:left w:val="single" w:color="auto" w:sz="4" w:space="0"/>
              <w:bottom w:val="single" w:color="auto" w:sz="4" w:space="0"/>
              <w:right w:val="single" w:color="auto" w:sz="4" w:space="0"/>
            </w:tcBorders>
            <w:shd w:val="clear" w:color="auto" w:fill="auto"/>
            <w:vAlign w:val="center"/>
          </w:tcPr>
          <w:p w14:paraId="2C423B61">
            <w:pPr>
              <w:jc w:val="center"/>
              <w:rPr>
                <w:rFonts w:hint="eastAsia" w:ascii="Times New Roman" w:hAnsi="Times New Roman" w:eastAsia="仿宋_GB2312" w:cs="Times New Roman"/>
                <w:color w:val="auto"/>
                <w:kern w:val="2"/>
                <w:sz w:val="28"/>
                <w:szCs w:val="28"/>
                <w:lang w:val="en-US" w:eastAsia="zh-CN" w:bidi="ar-SA"/>
                <w14:ligatures w14:val="none"/>
              </w:rPr>
            </w:pPr>
            <w:r>
              <w:rPr>
                <w:rFonts w:hint="eastAsia" w:eastAsia="仿宋_GB2312"/>
                <w:color w:val="auto"/>
                <w:sz w:val="28"/>
                <w:szCs w:val="28"/>
              </w:rPr>
              <w:t>技术员</w:t>
            </w:r>
          </w:p>
        </w:tc>
        <w:tc>
          <w:tcPr>
            <w:tcW w:w="3040" w:type="dxa"/>
            <w:tcBorders>
              <w:top w:val="single" w:color="auto" w:sz="4" w:space="0"/>
              <w:left w:val="single" w:color="auto" w:sz="4" w:space="0"/>
              <w:bottom w:val="single" w:color="auto" w:sz="4" w:space="0"/>
              <w:right w:val="single" w:color="auto" w:sz="4" w:space="0"/>
            </w:tcBorders>
            <w:shd w:val="clear" w:color="auto" w:fill="auto"/>
            <w:vAlign w:val="center"/>
          </w:tcPr>
          <w:p w14:paraId="03ECD108">
            <w:pPr>
              <w:jc w:val="center"/>
              <w:rPr>
                <w:rFonts w:hint="eastAsia" w:ascii="Times New Roman" w:hAnsi="Times New Roman" w:eastAsia="仿宋_GB2312" w:cs="Times New Roman"/>
                <w:color w:val="auto"/>
                <w:kern w:val="2"/>
                <w:sz w:val="28"/>
                <w:szCs w:val="28"/>
                <w:lang w:val="en-US" w:eastAsia="zh-CN" w:bidi="ar-SA"/>
                <w14:ligatures w14:val="none"/>
              </w:rPr>
            </w:pPr>
            <w:r>
              <w:rPr>
                <w:rFonts w:hint="eastAsia" w:eastAsia="仿宋_GB2312"/>
                <w:color w:val="auto"/>
                <w:sz w:val="28"/>
                <w:szCs w:val="28"/>
              </w:rPr>
              <w:t>赣州市森源科技种苗场</w:t>
            </w:r>
          </w:p>
        </w:tc>
        <w:tc>
          <w:tcPr>
            <w:tcW w:w="1506" w:type="dxa"/>
            <w:tcBorders>
              <w:top w:val="single" w:color="auto" w:sz="4" w:space="0"/>
              <w:left w:val="single" w:color="auto" w:sz="4" w:space="0"/>
              <w:bottom w:val="single" w:color="auto" w:sz="4" w:space="0"/>
              <w:right w:val="single" w:color="auto" w:sz="4" w:space="0"/>
            </w:tcBorders>
            <w:shd w:val="clear" w:color="auto" w:fill="auto"/>
            <w:vAlign w:val="center"/>
          </w:tcPr>
          <w:p w14:paraId="2F1BDCC0">
            <w:pPr>
              <w:jc w:val="center"/>
              <w:rPr>
                <w:rFonts w:hint="eastAsia" w:ascii="Times New Roman" w:hAnsi="Times New Roman" w:eastAsia="仿宋_GB2312" w:cs="Times New Roman"/>
                <w:color w:val="auto"/>
                <w:kern w:val="2"/>
                <w:sz w:val="28"/>
                <w:szCs w:val="28"/>
                <w:lang w:val="en-US" w:eastAsia="zh-CN" w:bidi="ar-SA"/>
                <w14:ligatures w14:val="none"/>
              </w:rPr>
            </w:pPr>
            <w:r>
              <w:rPr>
                <w:rFonts w:hint="eastAsia" w:eastAsia="仿宋_GB2312"/>
                <w:color w:val="auto"/>
                <w:sz w:val="28"/>
                <w:szCs w:val="28"/>
              </w:rPr>
              <w:t>试验实施</w:t>
            </w:r>
          </w:p>
        </w:tc>
      </w:tr>
    </w:tbl>
    <w:p w14:paraId="7DE70E3A">
      <w:pPr>
        <w:ind w:firstLine="640" w:firstLineChars="200"/>
        <w:rPr>
          <w:rFonts w:eastAsia="黑体"/>
          <w:color w:val="auto"/>
          <w:sz w:val="32"/>
          <w:szCs w:val="32"/>
        </w:rPr>
      </w:pPr>
      <w:r>
        <w:rPr>
          <w:rFonts w:hint="eastAsia" w:eastAsia="黑体"/>
          <w:color w:val="auto"/>
          <w:sz w:val="32"/>
          <w:szCs w:val="32"/>
        </w:rPr>
        <w:t>二、制定标准的必要性和意义</w:t>
      </w:r>
    </w:p>
    <w:p w14:paraId="2419CCF8">
      <w:pPr>
        <w:ind w:firstLine="640" w:firstLineChars="200"/>
        <w:rPr>
          <w:rFonts w:eastAsia="仿宋_GB2312"/>
          <w:bCs/>
          <w:color w:val="auto"/>
          <w:sz w:val="32"/>
          <w:szCs w:val="32"/>
        </w:rPr>
      </w:pPr>
      <w:r>
        <w:rPr>
          <w:rFonts w:hint="eastAsia" w:eastAsia="仿宋_GB2312"/>
          <w:bCs/>
          <w:color w:val="auto"/>
          <w:sz w:val="32"/>
          <w:szCs w:val="32"/>
          <w:lang w:val="zh-CN"/>
        </w:rPr>
        <w:t>半枫荷</w:t>
      </w:r>
      <w:r>
        <w:rPr>
          <w:rFonts w:hint="eastAsia" w:eastAsia="仿宋_GB2312"/>
          <w:bCs/>
          <w:color w:val="auto"/>
          <w:sz w:val="32"/>
          <w:szCs w:val="32"/>
        </w:rPr>
        <w:t>（</w:t>
      </w:r>
      <w:r>
        <w:rPr>
          <w:rFonts w:eastAsia="仿宋_GB2312"/>
          <w:bCs/>
          <w:i/>
          <w:iCs/>
          <w:color w:val="auto"/>
          <w:sz w:val="32"/>
          <w:szCs w:val="32"/>
        </w:rPr>
        <w:t>Semiliquidambar cathayensis</w:t>
      </w:r>
      <w:r>
        <w:rPr>
          <w:rFonts w:eastAsia="仿宋_GB2312"/>
          <w:bCs/>
          <w:color w:val="auto"/>
          <w:sz w:val="32"/>
          <w:szCs w:val="32"/>
        </w:rPr>
        <w:t xml:space="preserve"> H. T. Chang</w:t>
      </w:r>
      <w:r>
        <w:rPr>
          <w:rFonts w:hint="eastAsia" w:eastAsia="仿宋_GB2312"/>
          <w:bCs/>
          <w:color w:val="auto"/>
          <w:sz w:val="32"/>
          <w:szCs w:val="32"/>
        </w:rPr>
        <w:t>）为蕈树科</w:t>
      </w:r>
      <w:r>
        <w:rPr>
          <w:rFonts w:eastAsia="仿宋_GB2312"/>
          <w:bCs/>
          <w:color w:val="auto"/>
          <w:sz w:val="32"/>
          <w:szCs w:val="32"/>
        </w:rPr>
        <w:t xml:space="preserve"> </w:t>
      </w:r>
      <w:r>
        <w:rPr>
          <w:rFonts w:hint="eastAsia" w:eastAsia="仿宋_GB2312"/>
          <w:bCs/>
          <w:color w:val="auto"/>
          <w:sz w:val="32"/>
          <w:szCs w:val="32"/>
        </w:rPr>
        <w:t>（</w:t>
      </w:r>
      <w:r>
        <w:rPr>
          <w:rFonts w:eastAsia="仿宋_GB2312"/>
          <w:bCs/>
          <w:color w:val="auto"/>
          <w:sz w:val="32"/>
          <w:szCs w:val="32"/>
        </w:rPr>
        <w:t>Altingiaceae</w:t>
      </w:r>
      <w:r>
        <w:rPr>
          <w:rFonts w:hint="eastAsia" w:eastAsia="仿宋_GB2312"/>
          <w:bCs/>
          <w:color w:val="auto"/>
          <w:sz w:val="32"/>
          <w:szCs w:val="32"/>
        </w:rPr>
        <w:t>）半枫荷属（</w:t>
      </w:r>
      <w:r>
        <w:rPr>
          <w:rFonts w:eastAsia="仿宋_GB2312"/>
          <w:bCs/>
          <w:i/>
          <w:iCs/>
          <w:color w:val="auto"/>
          <w:sz w:val="32"/>
          <w:szCs w:val="32"/>
        </w:rPr>
        <w:t>Semiliquidambar</w:t>
      </w:r>
      <w:r>
        <w:rPr>
          <w:rFonts w:hint="eastAsia" w:eastAsia="仿宋_GB2312"/>
          <w:bCs/>
          <w:color w:val="auto"/>
          <w:sz w:val="32"/>
          <w:szCs w:val="32"/>
        </w:rPr>
        <w:t>）植物，</w:t>
      </w:r>
      <w:r>
        <w:rPr>
          <w:rFonts w:hint="eastAsia" w:eastAsia="仿宋_GB2312"/>
          <w:bCs/>
          <w:color w:val="auto"/>
          <w:sz w:val="32"/>
          <w:szCs w:val="32"/>
          <w:lang w:val="zh-CN"/>
        </w:rPr>
        <w:t>又名翻白叶树、大叶半枫荷、白背枫、阴阳叶、铁巴掌等</w:t>
      </w:r>
      <w:r>
        <w:rPr>
          <w:rFonts w:hint="eastAsia" w:eastAsia="仿宋_GB2312"/>
          <w:bCs/>
          <w:color w:val="auto"/>
          <w:sz w:val="32"/>
          <w:szCs w:val="32"/>
        </w:rPr>
        <w:t>，</w:t>
      </w:r>
      <w:r>
        <w:rPr>
          <w:rFonts w:hint="eastAsia" w:eastAsia="仿宋_GB2312"/>
          <w:bCs/>
          <w:color w:val="auto"/>
          <w:sz w:val="32"/>
          <w:szCs w:val="32"/>
          <w:lang w:val="zh-CN"/>
        </w:rPr>
        <w:t>属于国家二级保护植物</w:t>
      </w:r>
      <w:r>
        <w:rPr>
          <w:rFonts w:hint="eastAsia" w:eastAsia="仿宋_GB2312"/>
          <w:bCs/>
          <w:color w:val="auto"/>
          <w:sz w:val="32"/>
          <w:szCs w:val="32"/>
        </w:rPr>
        <w:t>，</w:t>
      </w:r>
      <w:r>
        <w:rPr>
          <w:rFonts w:hint="eastAsia" w:eastAsia="仿宋_GB2312"/>
          <w:bCs/>
          <w:color w:val="auto"/>
          <w:sz w:val="32"/>
          <w:szCs w:val="32"/>
          <w:lang w:val="zh-CN"/>
        </w:rPr>
        <w:t>因其有的叶分裂如枫叶</w:t>
      </w:r>
      <w:r>
        <w:rPr>
          <w:rFonts w:hint="eastAsia" w:eastAsia="仿宋_GB2312"/>
          <w:bCs/>
          <w:color w:val="auto"/>
          <w:sz w:val="32"/>
          <w:szCs w:val="32"/>
        </w:rPr>
        <w:t>，</w:t>
      </w:r>
      <w:r>
        <w:rPr>
          <w:rFonts w:hint="eastAsia" w:eastAsia="仿宋_GB2312"/>
          <w:bCs/>
          <w:color w:val="auto"/>
          <w:sz w:val="32"/>
          <w:szCs w:val="32"/>
          <w:lang w:val="zh-CN"/>
        </w:rPr>
        <w:t>其他的叶则全缘而似荷叶</w:t>
      </w:r>
      <w:r>
        <w:rPr>
          <w:rFonts w:hint="eastAsia" w:eastAsia="仿宋_GB2312"/>
          <w:bCs/>
          <w:color w:val="auto"/>
          <w:sz w:val="32"/>
          <w:szCs w:val="32"/>
        </w:rPr>
        <w:t>，</w:t>
      </w:r>
      <w:r>
        <w:rPr>
          <w:rFonts w:hint="eastAsia" w:eastAsia="仿宋_GB2312"/>
          <w:bCs/>
          <w:color w:val="auto"/>
          <w:sz w:val="32"/>
          <w:szCs w:val="32"/>
          <w:lang w:val="zh-CN"/>
        </w:rPr>
        <w:t>一半像荷叶</w:t>
      </w:r>
      <w:r>
        <w:rPr>
          <w:rFonts w:hint="eastAsia" w:eastAsia="仿宋_GB2312"/>
          <w:bCs/>
          <w:color w:val="auto"/>
          <w:sz w:val="32"/>
          <w:szCs w:val="32"/>
        </w:rPr>
        <w:t>，</w:t>
      </w:r>
      <w:r>
        <w:rPr>
          <w:rFonts w:hint="eastAsia" w:eastAsia="仿宋_GB2312"/>
          <w:bCs/>
          <w:color w:val="auto"/>
          <w:sz w:val="32"/>
          <w:szCs w:val="32"/>
          <w:lang w:val="zh-CN"/>
        </w:rPr>
        <w:t>一半似枫叶</w:t>
      </w:r>
      <w:r>
        <w:rPr>
          <w:rFonts w:hint="eastAsia" w:eastAsia="仿宋_GB2312"/>
          <w:bCs/>
          <w:color w:val="auto"/>
          <w:sz w:val="32"/>
          <w:szCs w:val="32"/>
        </w:rPr>
        <w:t>，</w:t>
      </w:r>
      <w:r>
        <w:rPr>
          <w:rFonts w:hint="eastAsia" w:eastAsia="仿宋_GB2312"/>
          <w:bCs/>
          <w:color w:val="auto"/>
          <w:sz w:val="32"/>
          <w:szCs w:val="32"/>
          <w:lang w:val="zh-CN"/>
        </w:rPr>
        <w:t>由此得名半枫荷。</w:t>
      </w:r>
    </w:p>
    <w:p w14:paraId="0CD9105A">
      <w:pPr>
        <w:ind w:firstLine="640" w:firstLineChars="200"/>
        <w:rPr>
          <w:rFonts w:eastAsia="仿宋_GB2312"/>
          <w:bCs/>
          <w:color w:val="auto"/>
          <w:sz w:val="32"/>
          <w:szCs w:val="32"/>
          <w:lang w:val="zh-CN"/>
        </w:rPr>
      </w:pPr>
      <w:r>
        <w:rPr>
          <w:rFonts w:hint="eastAsia" w:eastAsia="仿宋_GB2312"/>
          <w:bCs/>
          <w:color w:val="auto"/>
          <w:sz w:val="32"/>
          <w:szCs w:val="32"/>
          <w:lang w:val="zh-CN"/>
        </w:rPr>
        <w:t>半枫荷是中国的特有树种，具有很多应用价值，深受市场欢迎，开发潜力巨大。首先，其木材材质优良，旋刨性能良好，是造纸纤维原料及纤维板、刨花板的优质原料，亦是制作家具、农具的优良材料，具有极高的经济用材价值；其次，半枫荷还是一种珍贵的药用植物，根、枝、树皮都可入药，能活血通络，祛风除湿，可以治疗风湿性关节炎，腰肌劳损，半身不遂，跌打瘀积、肿痛、产后风瘫，外伤常用于止血，是产区群众常用的中药。目前，半枫荷作为重要的中</w:t>
      </w:r>
      <w:r>
        <w:rPr>
          <w:rFonts w:hint="eastAsia" w:eastAsia="仿宋_GB2312"/>
          <w:bCs/>
          <w:color w:val="auto"/>
          <w:sz w:val="32"/>
          <w:szCs w:val="32"/>
        </w:rPr>
        <w:t>药材</w:t>
      </w:r>
      <w:r>
        <w:rPr>
          <w:rFonts w:hint="eastAsia" w:eastAsia="仿宋_GB2312"/>
          <w:bCs/>
          <w:color w:val="auto"/>
          <w:sz w:val="32"/>
          <w:szCs w:val="32"/>
          <w:lang w:val="zh-CN"/>
        </w:rPr>
        <w:t>已得到了</w:t>
      </w:r>
      <w:r>
        <w:rPr>
          <w:rFonts w:hint="eastAsia" w:eastAsia="仿宋_GB2312"/>
          <w:bCs/>
          <w:color w:val="auto"/>
          <w:sz w:val="32"/>
          <w:szCs w:val="32"/>
        </w:rPr>
        <w:t>一定</w:t>
      </w:r>
      <w:r>
        <w:rPr>
          <w:rFonts w:hint="eastAsia" w:eastAsia="仿宋_GB2312"/>
          <w:bCs/>
          <w:color w:val="auto"/>
          <w:sz w:val="32"/>
          <w:szCs w:val="32"/>
          <w:lang w:val="zh-CN"/>
        </w:rPr>
        <w:t>的重视和开发，如半枫荷散、中药巴布剂、半枫荷类注射液、苗岭骨力胶囊等；此外，半枫荷还是一种优良的彩化树种（园林绿化观赏树种），其树干耸直，终年常绿披翠，树形卵圆形，嫩叶紫色，叶型多变，点缀其间，甚为美观，宜作行道树、孤植、丛植或风景树配置，又可据其喜光而耐阴的特性，构建地带性人工植物群落或在城市生态公益林与其它阔叶树种混交种植。</w:t>
      </w:r>
    </w:p>
    <w:p w14:paraId="7E550064">
      <w:pPr>
        <w:ind w:firstLine="640" w:firstLineChars="200"/>
        <w:rPr>
          <w:rFonts w:eastAsia="仿宋_GB2312"/>
          <w:bCs/>
          <w:color w:val="auto"/>
          <w:sz w:val="32"/>
          <w:szCs w:val="32"/>
          <w:lang w:val="zh-CN"/>
        </w:rPr>
      </w:pPr>
      <w:r>
        <w:rPr>
          <w:rFonts w:hint="eastAsia" w:eastAsia="仿宋_GB2312"/>
          <w:bCs/>
          <w:color w:val="auto"/>
          <w:sz w:val="32"/>
          <w:szCs w:val="32"/>
        </w:rPr>
        <w:t>然而，长期以来，野生半枫荷资源破坏严重，</w:t>
      </w:r>
      <w:r>
        <w:rPr>
          <w:rFonts w:hint="eastAsia" w:eastAsia="仿宋_GB2312"/>
          <w:bCs/>
          <w:color w:val="auto"/>
          <w:sz w:val="32"/>
          <w:szCs w:val="32"/>
          <w:lang w:val="zh-CN"/>
        </w:rPr>
        <w:t>在</w:t>
      </w:r>
      <w:r>
        <w:rPr>
          <w:rFonts w:eastAsia="仿宋_GB2312"/>
          <w:bCs/>
          <w:color w:val="auto"/>
          <w:sz w:val="32"/>
          <w:szCs w:val="32"/>
          <w:lang w:val="zh-CN"/>
        </w:rPr>
        <w:t>2003</w:t>
      </w:r>
      <w:r>
        <w:rPr>
          <w:rFonts w:hint="eastAsia" w:eastAsia="仿宋_GB2312"/>
          <w:bCs/>
          <w:color w:val="auto"/>
          <w:sz w:val="32"/>
          <w:szCs w:val="32"/>
        </w:rPr>
        <w:t>版</w:t>
      </w:r>
      <w:r>
        <w:rPr>
          <w:rFonts w:hint="eastAsia" w:eastAsia="仿宋_GB2312"/>
          <w:bCs/>
          <w:color w:val="auto"/>
          <w:sz w:val="32"/>
          <w:szCs w:val="32"/>
          <w:lang w:val="zh-CN"/>
        </w:rPr>
        <w:t>《中国物种红色名录》中，专家推测半枫荷在过去</w:t>
      </w:r>
      <w:r>
        <w:rPr>
          <w:rFonts w:eastAsia="仿宋_GB2312"/>
          <w:bCs/>
          <w:color w:val="auto"/>
          <w:sz w:val="32"/>
          <w:szCs w:val="32"/>
          <w:lang w:val="zh-CN"/>
        </w:rPr>
        <w:t>3</w:t>
      </w:r>
      <w:r>
        <w:rPr>
          <w:rFonts w:hint="eastAsia" w:eastAsia="仿宋_GB2312"/>
          <w:bCs/>
          <w:color w:val="auto"/>
          <w:sz w:val="32"/>
          <w:szCs w:val="32"/>
          <w:lang w:val="zh-CN"/>
        </w:rPr>
        <w:t>个世代内致危因素没有停止，种群至少减少</w:t>
      </w:r>
      <w:r>
        <w:rPr>
          <w:rFonts w:eastAsia="仿宋_GB2312"/>
          <w:bCs/>
          <w:color w:val="auto"/>
          <w:sz w:val="32"/>
          <w:szCs w:val="32"/>
          <w:lang w:val="zh-CN"/>
        </w:rPr>
        <w:t>30%</w:t>
      </w:r>
      <w:r>
        <w:rPr>
          <w:rFonts w:hint="eastAsia" w:eastAsia="仿宋_GB2312"/>
          <w:bCs/>
          <w:color w:val="auto"/>
          <w:sz w:val="32"/>
          <w:szCs w:val="32"/>
          <w:lang w:val="zh-CN"/>
        </w:rPr>
        <w:t>，因此将半枫荷列入易危等级，在未来一段时间内其种群面临绝灭的几率较高。究其原因：一是因为半枫荷的药用价值极高，经常遭受采挖甚至整树砍伐等破坏，导致资源原来越稀缺。二是人为的干扰使得半枫荷的生境遭受破坏，影响其繁殖速度。另外，再加上</w:t>
      </w:r>
      <w:r>
        <w:rPr>
          <w:rFonts w:hint="eastAsia" w:eastAsia="仿宋_GB2312"/>
          <w:bCs/>
          <w:color w:val="auto"/>
          <w:sz w:val="32"/>
          <w:szCs w:val="32"/>
        </w:rPr>
        <w:t>半枫荷的</w:t>
      </w:r>
      <w:r>
        <w:rPr>
          <w:rFonts w:hint="eastAsia" w:eastAsia="仿宋_GB2312"/>
          <w:bCs/>
          <w:color w:val="auto"/>
          <w:sz w:val="32"/>
          <w:szCs w:val="32"/>
          <w:lang w:val="zh-CN"/>
        </w:rPr>
        <w:t>人工</w:t>
      </w:r>
      <w:r>
        <w:rPr>
          <w:rFonts w:hint="eastAsia" w:eastAsia="仿宋_GB2312"/>
          <w:bCs/>
          <w:color w:val="auto"/>
          <w:sz w:val="32"/>
          <w:szCs w:val="32"/>
        </w:rPr>
        <w:t>培育</w:t>
      </w:r>
      <w:r>
        <w:rPr>
          <w:rFonts w:hint="eastAsia" w:eastAsia="仿宋_GB2312"/>
          <w:bCs/>
          <w:color w:val="auto"/>
          <w:sz w:val="32"/>
          <w:szCs w:val="32"/>
          <w:lang w:val="zh-CN"/>
        </w:rPr>
        <w:t>技术不成熟等一系列原因使得半枫荷数量锐减，当前已经处在濒危状态。</w:t>
      </w:r>
    </w:p>
    <w:p w14:paraId="1DFD0945">
      <w:pPr>
        <w:ind w:firstLine="640" w:firstLineChars="200"/>
        <w:rPr>
          <w:rFonts w:eastAsia="仿宋_GB2312"/>
          <w:bCs/>
          <w:color w:val="auto"/>
          <w:sz w:val="32"/>
          <w:szCs w:val="32"/>
        </w:rPr>
      </w:pPr>
      <w:r>
        <w:rPr>
          <w:rFonts w:hint="eastAsia" w:eastAsia="仿宋_GB2312"/>
          <w:bCs/>
          <w:color w:val="auto"/>
          <w:sz w:val="32"/>
          <w:szCs w:val="32"/>
        </w:rPr>
        <w:t>目前，我省在生产经营中尚未有统一的半枫荷培育技术指导标准。本项目团队从</w:t>
      </w:r>
      <w:r>
        <w:rPr>
          <w:rFonts w:eastAsia="仿宋_GB2312"/>
          <w:bCs/>
          <w:color w:val="auto"/>
          <w:sz w:val="32"/>
          <w:szCs w:val="32"/>
        </w:rPr>
        <w:t>2013</w:t>
      </w:r>
      <w:r>
        <w:rPr>
          <w:rFonts w:hint="eastAsia" w:eastAsia="仿宋_GB2312"/>
          <w:bCs/>
          <w:color w:val="auto"/>
          <w:sz w:val="32"/>
          <w:szCs w:val="32"/>
        </w:rPr>
        <w:t>年起至今，开展了半枫荷快繁技术研究，旨在探索简易高效、操作性强的半枫荷培育技术，扩大半枫荷资源优势，培育半枫荷优质苗木，满足市场需求，解决半枫荷目前所面临的资源稀缺问题。因此，为满足全省各地对半枫荷育苗与栽培技术标准化的迫切需求，推进半枫荷科学化培育，有必要尽快制定相关技术标准，规范当前生产。该规程的制定可为规范半枫荷培育提供技术指导。</w:t>
      </w:r>
    </w:p>
    <w:p w14:paraId="0F59692C">
      <w:pPr>
        <w:ind w:firstLine="640" w:firstLineChars="200"/>
        <w:rPr>
          <w:rFonts w:eastAsia="仿宋_GB2312"/>
          <w:bCs/>
          <w:color w:val="auto"/>
          <w:sz w:val="32"/>
          <w:szCs w:val="32"/>
        </w:rPr>
      </w:pPr>
      <w:r>
        <w:rPr>
          <w:rFonts w:hint="eastAsia" w:eastAsia="黑体"/>
          <w:color w:val="auto"/>
          <w:sz w:val="32"/>
          <w:szCs w:val="32"/>
        </w:rPr>
        <w:t>三、主要起草过程</w:t>
      </w:r>
    </w:p>
    <w:p w14:paraId="74246CF0">
      <w:pPr>
        <w:ind w:firstLine="640" w:firstLineChars="200"/>
        <w:rPr>
          <w:rFonts w:eastAsia="仿宋_GB2312"/>
          <w:bCs/>
          <w:color w:val="auto"/>
          <w:sz w:val="32"/>
          <w:szCs w:val="32"/>
        </w:rPr>
      </w:pPr>
      <w:r>
        <w:rPr>
          <w:rFonts w:hint="eastAsia" w:eastAsia="仿宋_GB2312"/>
          <w:bCs/>
          <w:color w:val="auto"/>
          <w:sz w:val="32"/>
          <w:szCs w:val="32"/>
        </w:rPr>
        <w:t>本规程起草团队以</w:t>
      </w:r>
      <w:r>
        <w:rPr>
          <w:rFonts w:eastAsia="仿宋_GB2312"/>
          <w:bCs/>
          <w:color w:val="auto"/>
          <w:sz w:val="32"/>
          <w:szCs w:val="32"/>
        </w:rPr>
        <w:t>2014</w:t>
      </w:r>
      <w:r>
        <w:rPr>
          <w:rFonts w:hint="eastAsia" w:eastAsia="仿宋_GB2312"/>
          <w:bCs/>
          <w:color w:val="auto"/>
          <w:sz w:val="32"/>
          <w:szCs w:val="32"/>
        </w:rPr>
        <w:t>年</w:t>
      </w:r>
      <w:r>
        <w:rPr>
          <w:rFonts w:hint="eastAsia" w:eastAsia="仿宋_GB2312"/>
          <w:bCs/>
          <w:color w:val="auto"/>
          <w:sz w:val="32"/>
          <w:szCs w:val="32"/>
        </w:rPr>
        <w:t>赣州市森源科技种苗场</w:t>
      </w:r>
      <w:r>
        <w:rPr>
          <w:rFonts w:hint="eastAsia" w:eastAsia="仿宋_GB2312"/>
          <w:bCs/>
          <w:color w:val="auto"/>
          <w:sz w:val="32"/>
          <w:szCs w:val="32"/>
        </w:rPr>
        <w:t>自选项目《半枫荷育苗技术研究》、赣州市科技计划项目《半枫荷苗木繁育技术研究与产业化》（赣市财教字〔</w:t>
      </w:r>
      <w:r>
        <w:rPr>
          <w:rFonts w:eastAsia="仿宋_GB2312"/>
          <w:bCs/>
          <w:color w:val="auto"/>
          <w:sz w:val="32"/>
          <w:szCs w:val="32"/>
        </w:rPr>
        <w:t>2017</w:t>
      </w:r>
      <w:r>
        <w:rPr>
          <w:rFonts w:hint="eastAsia" w:eastAsia="仿宋_GB2312"/>
          <w:bCs/>
          <w:color w:val="auto"/>
          <w:sz w:val="32"/>
          <w:szCs w:val="32"/>
        </w:rPr>
        <w:t>〕</w:t>
      </w:r>
      <w:r>
        <w:rPr>
          <w:rFonts w:eastAsia="仿宋_GB2312"/>
          <w:bCs/>
          <w:color w:val="auto"/>
          <w:sz w:val="32"/>
          <w:szCs w:val="32"/>
        </w:rPr>
        <w:t>8</w:t>
      </w:r>
      <w:r>
        <w:rPr>
          <w:rFonts w:hint="eastAsia" w:eastAsia="仿宋_GB2312"/>
          <w:bCs/>
          <w:color w:val="auto"/>
          <w:sz w:val="32"/>
          <w:szCs w:val="32"/>
        </w:rPr>
        <w:t>号）、</w:t>
      </w:r>
      <w:r>
        <w:rPr>
          <w:rFonts w:hint="eastAsia" w:eastAsia="仿宋_GB2312"/>
          <w:bCs/>
          <w:color w:val="auto"/>
          <w:sz w:val="32"/>
          <w:szCs w:val="32"/>
        </w:rPr>
        <w:t>赣州市科技计划项目《珍贵乡土彩叶树种半枫荷种资源收集与良种选育》（赣市科发〔</w:t>
      </w:r>
      <w:r>
        <w:rPr>
          <w:rFonts w:eastAsia="仿宋_GB2312"/>
          <w:bCs/>
          <w:color w:val="auto"/>
          <w:sz w:val="32"/>
          <w:szCs w:val="32"/>
        </w:rPr>
        <w:t>201</w:t>
      </w:r>
      <w:r>
        <w:rPr>
          <w:rFonts w:hint="eastAsia" w:eastAsia="仿宋_GB2312"/>
          <w:bCs/>
          <w:color w:val="auto"/>
          <w:sz w:val="32"/>
          <w:szCs w:val="32"/>
        </w:rPr>
        <w:t>8〕50号），以及信丰县金盆山林场中央财政林业科技推广项目《</w:t>
      </w:r>
      <w:r>
        <w:rPr>
          <w:rFonts w:eastAsia="仿宋_GB2312"/>
          <w:bCs/>
          <w:color w:val="auto"/>
          <w:sz w:val="32"/>
          <w:szCs w:val="32"/>
        </w:rPr>
        <w:t>珍贵乡土树种半枫荷繁育技术推广与示范</w:t>
      </w:r>
      <w:r>
        <w:rPr>
          <w:rFonts w:hint="eastAsia" w:eastAsia="仿宋_GB2312"/>
          <w:bCs/>
          <w:color w:val="auto"/>
          <w:sz w:val="32"/>
          <w:szCs w:val="32"/>
        </w:rPr>
        <w:t>》（</w:t>
      </w:r>
      <w:r>
        <w:rPr>
          <w:rFonts w:eastAsia="仿宋_GB2312"/>
          <w:bCs/>
          <w:color w:val="auto"/>
          <w:sz w:val="32"/>
          <w:szCs w:val="32"/>
        </w:rPr>
        <w:t>JXTG〔20</w:t>
      </w:r>
      <w:r>
        <w:rPr>
          <w:rFonts w:hint="eastAsia" w:eastAsia="仿宋_GB2312"/>
          <w:bCs/>
          <w:color w:val="auto"/>
          <w:sz w:val="32"/>
          <w:szCs w:val="32"/>
        </w:rPr>
        <w:t>20</w:t>
      </w:r>
      <w:r>
        <w:rPr>
          <w:rFonts w:eastAsia="仿宋_GB2312"/>
          <w:bCs/>
          <w:color w:val="auto"/>
          <w:sz w:val="32"/>
          <w:szCs w:val="32"/>
        </w:rPr>
        <w:t>〕-</w:t>
      </w:r>
      <w:r>
        <w:rPr>
          <w:rFonts w:hint="eastAsia" w:eastAsia="仿宋_GB2312"/>
          <w:bCs/>
          <w:color w:val="auto"/>
          <w:sz w:val="32"/>
          <w:szCs w:val="32"/>
        </w:rPr>
        <w:t>23</w:t>
      </w:r>
      <w:r>
        <w:rPr>
          <w:rFonts w:eastAsia="仿宋_GB2312"/>
          <w:bCs/>
          <w:color w:val="auto"/>
          <w:sz w:val="32"/>
          <w:szCs w:val="32"/>
        </w:rPr>
        <w:t>号</w:t>
      </w:r>
      <w:r>
        <w:rPr>
          <w:rFonts w:hint="eastAsia" w:eastAsia="仿宋_GB2312"/>
          <w:bCs/>
          <w:color w:val="auto"/>
          <w:sz w:val="32"/>
          <w:szCs w:val="32"/>
        </w:rPr>
        <w:t>）</w:t>
      </w:r>
      <w:r>
        <w:rPr>
          <w:rFonts w:hint="eastAsia" w:eastAsia="仿宋_GB2312"/>
          <w:bCs/>
          <w:color w:val="auto"/>
          <w:sz w:val="32"/>
          <w:szCs w:val="32"/>
        </w:rPr>
        <w:t>等研究项目为基础，通过多年对半枫荷资源收集、苗木繁育和栽培技术的试验研究，积累了丰富的试验数据及经验，并结合生产调研和相关文献资料，总结了一套完整的半枫荷培育技术，并形成科技成果。</w:t>
      </w:r>
      <w:r>
        <w:rPr>
          <w:rFonts w:hint="eastAsia" w:eastAsia="仿宋_GB2312"/>
          <w:bCs/>
          <w:color w:val="auto"/>
          <w:sz w:val="32"/>
          <w:szCs w:val="32"/>
        </w:rPr>
        <w:t>其中《半枫荷繁殖技术研究》</w:t>
      </w:r>
      <w:r>
        <w:rPr>
          <w:rFonts w:hint="eastAsia" w:eastAsia="仿宋_GB2312"/>
          <w:bCs/>
          <w:color w:val="auto"/>
          <w:sz w:val="32"/>
          <w:szCs w:val="32"/>
        </w:rPr>
        <w:t>于</w:t>
      </w:r>
      <w:r>
        <w:rPr>
          <w:rFonts w:eastAsia="仿宋_GB2312"/>
          <w:bCs/>
          <w:color w:val="auto"/>
          <w:sz w:val="32"/>
          <w:szCs w:val="32"/>
        </w:rPr>
        <w:t>2019</w:t>
      </w:r>
      <w:r>
        <w:rPr>
          <w:rFonts w:hint="eastAsia" w:eastAsia="仿宋_GB2312"/>
          <w:bCs/>
          <w:color w:val="auto"/>
          <w:sz w:val="32"/>
          <w:szCs w:val="32"/>
        </w:rPr>
        <w:t>年</w:t>
      </w:r>
      <w:r>
        <w:rPr>
          <w:rFonts w:eastAsia="仿宋_GB2312"/>
          <w:bCs/>
          <w:color w:val="auto"/>
          <w:sz w:val="32"/>
          <w:szCs w:val="32"/>
        </w:rPr>
        <w:t>3</w:t>
      </w:r>
      <w:r>
        <w:rPr>
          <w:rFonts w:hint="eastAsia" w:eastAsia="仿宋_GB2312"/>
          <w:bCs/>
          <w:color w:val="auto"/>
          <w:sz w:val="32"/>
          <w:szCs w:val="32"/>
        </w:rPr>
        <w:t>月完成科技成果评价。项目组认为半枫荷培育技术已经相对成熟，具有示范推广价值，及时</w:t>
      </w:r>
      <w:r>
        <w:rPr>
          <w:rFonts w:hint="eastAsia" w:eastAsia="仿宋_GB2312"/>
          <w:color w:val="auto"/>
          <w:sz w:val="32"/>
          <w:szCs w:val="32"/>
        </w:rPr>
        <w:t>成立了《</w:t>
      </w:r>
      <w:r>
        <w:rPr>
          <w:rFonts w:hint="eastAsia" w:eastAsia="仿宋_GB2312"/>
          <w:bCs/>
          <w:color w:val="auto"/>
          <w:sz w:val="32"/>
          <w:szCs w:val="32"/>
        </w:rPr>
        <w:t>半枫荷培育技术规程</w:t>
      </w:r>
      <w:r>
        <w:rPr>
          <w:rFonts w:hint="eastAsia" w:eastAsia="仿宋_GB2312"/>
          <w:color w:val="auto"/>
          <w:sz w:val="32"/>
          <w:szCs w:val="32"/>
        </w:rPr>
        <w:t>》起草小组，</w:t>
      </w:r>
      <w:r>
        <w:rPr>
          <w:rFonts w:hint="eastAsia" w:eastAsia="仿宋_GB2312"/>
          <w:bCs/>
          <w:color w:val="auto"/>
          <w:sz w:val="32"/>
          <w:szCs w:val="32"/>
        </w:rPr>
        <w:t>明确责任分工，组织相关技术人员广泛开展资料收集和调研工作，以此为基础，项目组起草了《半枫荷培育技术规程》（标准草案），在</w:t>
      </w:r>
      <w:r>
        <w:rPr>
          <w:rFonts w:eastAsia="仿宋_GB2312"/>
          <w:bCs/>
          <w:color w:val="auto"/>
          <w:sz w:val="32"/>
          <w:szCs w:val="32"/>
        </w:rPr>
        <w:t>2023</w:t>
      </w:r>
      <w:r>
        <w:rPr>
          <w:rFonts w:hint="eastAsia" w:eastAsia="仿宋_GB2312"/>
          <w:bCs/>
          <w:color w:val="auto"/>
          <w:sz w:val="32"/>
          <w:szCs w:val="32"/>
        </w:rPr>
        <w:t>年纳入了《江西省林业地方标准体系建设工作安排》（赣林函字〔</w:t>
      </w:r>
      <w:r>
        <w:rPr>
          <w:rFonts w:eastAsia="仿宋_GB2312"/>
          <w:bCs/>
          <w:color w:val="auto"/>
          <w:sz w:val="32"/>
          <w:szCs w:val="32"/>
        </w:rPr>
        <w:t>2023</w:t>
      </w:r>
      <w:r>
        <w:rPr>
          <w:rFonts w:hint="eastAsia" w:eastAsia="仿宋_GB2312"/>
          <w:bCs/>
          <w:color w:val="auto"/>
          <w:sz w:val="32"/>
          <w:szCs w:val="32"/>
        </w:rPr>
        <w:t>〕</w:t>
      </w:r>
      <w:r>
        <w:rPr>
          <w:rFonts w:eastAsia="仿宋_GB2312"/>
          <w:bCs/>
          <w:color w:val="auto"/>
          <w:sz w:val="32"/>
          <w:szCs w:val="32"/>
        </w:rPr>
        <w:t>112</w:t>
      </w:r>
      <w:r>
        <w:rPr>
          <w:rFonts w:hint="eastAsia" w:eastAsia="仿宋_GB2312"/>
          <w:bCs/>
          <w:color w:val="auto"/>
          <w:sz w:val="32"/>
          <w:szCs w:val="32"/>
        </w:rPr>
        <w:t>号）。</w:t>
      </w:r>
    </w:p>
    <w:p w14:paraId="3474169E">
      <w:pPr>
        <w:ind w:firstLine="640" w:firstLineChars="200"/>
        <w:rPr>
          <w:rFonts w:eastAsia="仿宋_GB2312"/>
          <w:bCs/>
          <w:color w:val="auto"/>
          <w:sz w:val="32"/>
          <w:szCs w:val="32"/>
        </w:rPr>
      </w:pPr>
      <w:r>
        <w:rPr>
          <w:rFonts w:hint="eastAsia" w:eastAsia="仿宋_GB2312"/>
          <w:bCs/>
          <w:color w:val="auto"/>
          <w:sz w:val="32"/>
          <w:szCs w:val="32"/>
          <w:lang w:val="en-US" w:eastAsia="zh-CN"/>
        </w:rPr>
        <w:t>2024年8月8日，江西省林业局关于申报《地理标志 兴红花茶油》等3个地方标准制修订计划项目的函，下达了</w:t>
      </w:r>
      <w:r>
        <w:rPr>
          <w:rFonts w:hint="eastAsia" w:eastAsia="仿宋_GB2312"/>
          <w:color w:val="auto"/>
          <w:sz w:val="32"/>
          <w:szCs w:val="32"/>
        </w:rPr>
        <w:t>《</w:t>
      </w:r>
      <w:r>
        <w:rPr>
          <w:rFonts w:hint="eastAsia" w:eastAsia="仿宋_GB2312"/>
          <w:bCs/>
          <w:color w:val="auto"/>
          <w:sz w:val="32"/>
          <w:szCs w:val="32"/>
        </w:rPr>
        <w:t>半枫荷培育技术规程</w:t>
      </w:r>
      <w:r>
        <w:rPr>
          <w:rFonts w:hint="eastAsia" w:eastAsia="仿宋_GB2312"/>
          <w:color w:val="auto"/>
          <w:sz w:val="32"/>
          <w:szCs w:val="32"/>
        </w:rPr>
        <w:t>》</w:t>
      </w:r>
      <w:r>
        <w:rPr>
          <w:rFonts w:hint="eastAsia" w:eastAsia="仿宋_GB2312"/>
          <w:color w:val="auto"/>
          <w:sz w:val="32"/>
          <w:szCs w:val="32"/>
          <w:lang w:val="en-US" w:eastAsia="zh-CN"/>
        </w:rPr>
        <w:t>的立项公文，起草单位登录江西省地方标准制修订管理平台，完善标准信息并上传省有关部门立项公文、项目申报表等盖章文件及标准草案，申请立项。2025年1月16日，省标准技术审评中心组织专家开展立项评估会，2025年2月26日，江西省市场监管局关于下达 2025 年第一批江西省地方标准制修订计划的通知（赣市监标函〔2025〕1 号），</w:t>
      </w:r>
      <w:r>
        <w:rPr>
          <w:rFonts w:hint="eastAsia" w:eastAsia="仿宋_GB2312"/>
          <w:color w:val="auto"/>
          <w:sz w:val="32"/>
          <w:szCs w:val="32"/>
        </w:rPr>
        <w:t>《</w:t>
      </w:r>
      <w:r>
        <w:rPr>
          <w:rFonts w:hint="eastAsia" w:eastAsia="仿宋_GB2312"/>
          <w:bCs/>
          <w:color w:val="auto"/>
          <w:sz w:val="32"/>
          <w:szCs w:val="32"/>
        </w:rPr>
        <w:t>半枫荷培育技术规程</w:t>
      </w:r>
      <w:r>
        <w:rPr>
          <w:rFonts w:hint="eastAsia" w:eastAsia="仿宋_GB2312"/>
          <w:color w:val="auto"/>
          <w:sz w:val="32"/>
          <w:szCs w:val="32"/>
        </w:rPr>
        <w:t>》</w:t>
      </w:r>
      <w:r>
        <w:rPr>
          <w:rFonts w:hint="eastAsia" w:eastAsia="仿宋_GB2312"/>
          <w:color w:val="auto"/>
          <w:sz w:val="32"/>
          <w:szCs w:val="32"/>
          <w:lang w:val="en-US" w:eastAsia="zh-CN"/>
        </w:rPr>
        <w:t>纳入</w:t>
      </w:r>
      <w:r>
        <w:rPr>
          <w:rFonts w:hint="eastAsia" w:eastAsia="仿宋_GB2312"/>
          <w:color w:val="auto"/>
          <w:sz w:val="32"/>
          <w:szCs w:val="32"/>
        </w:rPr>
        <w:t>202</w:t>
      </w:r>
      <w:r>
        <w:rPr>
          <w:rFonts w:hint="eastAsia" w:eastAsia="仿宋_GB2312"/>
          <w:color w:val="auto"/>
          <w:sz w:val="32"/>
          <w:szCs w:val="32"/>
          <w:lang w:val="en-US" w:eastAsia="zh-CN"/>
        </w:rPr>
        <w:t>5</w:t>
      </w:r>
      <w:r>
        <w:rPr>
          <w:rFonts w:hint="eastAsia" w:eastAsia="仿宋_GB2312"/>
          <w:color w:val="auto"/>
          <w:sz w:val="32"/>
          <w:szCs w:val="32"/>
        </w:rPr>
        <w:t>年第一批江西省地方标准制修订计划项目</w:t>
      </w:r>
      <w:r>
        <w:rPr>
          <w:rFonts w:hint="eastAsia" w:eastAsia="仿宋_GB2312"/>
          <w:color w:val="auto"/>
          <w:sz w:val="32"/>
          <w:szCs w:val="32"/>
          <w:lang w:eastAsia="zh-CN"/>
        </w:rPr>
        <w:t>，计划编号</w:t>
      </w:r>
      <w:r>
        <w:rPr>
          <w:rFonts w:hint="eastAsia" w:eastAsia="仿宋_GB2312"/>
          <w:color w:val="auto"/>
          <w:sz w:val="32"/>
          <w:szCs w:val="32"/>
          <w:lang w:val="en-US" w:eastAsia="zh-CN"/>
        </w:rPr>
        <w:t>为：</w:t>
      </w:r>
      <w:r>
        <w:rPr>
          <w:rFonts w:hint="eastAsia" w:eastAsia="仿宋_GB2312"/>
          <w:color w:val="auto"/>
          <w:sz w:val="32"/>
          <w:szCs w:val="32"/>
          <w:lang w:eastAsia="zh-CN"/>
        </w:rPr>
        <w:t>DB36-2025-1-02。</w:t>
      </w:r>
      <w:r>
        <w:rPr>
          <w:rFonts w:hint="eastAsia" w:eastAsia="仿宋_GB2312"/>
          <w:color w:val="auto"/>
          <w:sz w:val="32"/>
          <w:szCs w:val="32"/>
          <w:lang w:val="en-US" w:eastAsia="zh-CN"/>
        </w:rPr>
        <w:t>2025年3月，</w:t>
      </w:r>
      <w:r>
        <w:rPr>
          <w:rFonts w:hint="eastAsia" w:eastAsia="仿宋_GB2312"/>
          <w:bCs/>
          <w:color w:val="auto"/>
          <w:sz w:val="32"/>
          <w:szCs w:val="32"/>
        </w:rPr>
        <w:t>标准修订小组内部进行了充分的讨论、交流，编制形成了《半枫荷培育技术规程》（征求意见稿），</w:t>
      </w:r>
      <w:r>
        <w:rPr>
          <w:rFonts w:hint="eastAsia" w:eastAsia="仿宋_GB2312"/>
          <w:bCs/>
          <w:color w:val="auto"/>
          <w:sz w:val="32"/>
          <w:szCs w:val="32"/>
          <w:lang w:val="en-US" w:eastAsia="zh-CN"/>
        </w:rPr>
        <w:t>于4月份向</w:t>
      </w:r>
      <w:r>
        <w:rPr>
          <w:rFonts w:hint="eastAsia" w:eastAsia="仿宋_GB2312"/>
          <w:bCs/>
          <w:color w:val="auto"/>
          <w:sz w:val="32"/>
          <w:szCs w:val="32"/>
        </w:rPr>
        <w:t>省内外相关单位（专家）征求意见，</w:t>
      </w:r>
      <w:r>
        <w:rPr>
          <w:rFonts w:hint="eastAsia" w:eastAsia="仿宋_GB2312"/>
          <w:bCs/>
          <w:color w:val="auto"/>
          <w:sz w:val="32"/>
          <w:szCs w:val="32"/>
          <w:lang w:val="en-US" w:eastAsia="zh-CN"/>
        </w:rPr>
        <w:t>后续</w:t>
      </w:r>
      <w:r>
        <w:rPr>
          <w:rFonts w:hint="eastAsia" w:eastAsia="仿宋_GB2312"/>
          <w:bCs/>
          <w:color w:val="auto"/>
          <w:sz w:val="32"/>
          <w:szCs w:val="32"/>
        </w:rPr>
        <w:t>将专家意见进行修改、整理、完善，形成本标准文件送审稿。在江西省市场监督管理局组织专家进行会议审查的基础上，修改完善并形成《半枫荷培育技术规程》报批稿</w:t>
      </w:r>
      <w:r>
        <w:rPr>
          <w:rFonts w:hint="eastAsia" w:eastAsia="仿宋_GB2312"/>
          <w:bCs/>
          <w:color w:val="auto"/>
          <w:sz w:val="32"/>
          <w:szCs w:val="32"/>
          <w:lang w:eastAsia="zh-CN"/>
        </w:rPr>
        <w:t>，标准报批材料通过审核</w:t>
      </w:r>
      <w:r>
        <w:rPr>
          <w:rFonts w:hint="eastAsia" w:eastAsia="仿宋_GB2312"/>
          <w:bCs/>
          <w:color w:val="auto"/>
          <w:sz w:val="32"/>
          <w:szCs w:val="32"/>
          <w:lang w:val="en-US" w:eastAsia="zh-CN"/>
        </w:rPr>
        <w:t>后批准发布</w:t>
      </w:r>
      <w:r>
        <w:rPr>
          <w:rFonts w:hint="eastAsia" w:eastAsia="仿宋_GB2312"/>
          <w:bCs/>
          <w:color w:val="auto"/>
          <w:sz w:val="32"/>
          <w:szCs w:val="32"/>
        </w:rPr>
        <w:t>。</w:t>
      </w:r>
    </w:p>
    <w:p w14:paraId="649486BC">
      <w:pPr>
        <w:ind w:firstLine="640" w:firstLineChars="200"/>
        <w:rPr>
          <w:rFonts w:eastAsia="黑体"/>
          <w:color w:val="auto"/>
          <w:sz w:val="32"/>
          <w:szCs w:val="32"/>
        </w:rPr>
      </w:pPr>
      <w:r>
        <w:rPr>
          <w:rFonts w:hint="eastAsia" w:eastAsia="黑体"/>
          <w:color w:val="auto"/>
          <w:sz w:val="32"/>
          <w:szCs w:val="32"/>
        </w:rPr>
        <w:t>四、制定（修订）标准的原则和依据，与现行法律、法规、标准的关系</w:t>
      </w:r>
    </w:p>
    <w:p w14:paraId="3101C43F">
      <w:pPr>
        <w:ind w:firstLine="640" w:firstLineChars="200"/>
        <w:rPr>
          <w:rFonts w:ascii="仿宋_GB2312" w:eastAsia="仿宋_GB2312"/>
          <w:color w:val="auto"/>
          <w:sz w:val="32"/>
          <w:szCs w:val="32"/>
        </w:rPr>
      </w:pPr>
      <w:r>
        <w:rPr>
          <w:rFonts w:hint="eastAsia" w:ascii="楷体" w:hAnsi="楷体" w:eastAsia="楷体" w:cs="楷体"/>
          <w:color w:val="auto"/>
          <w:sz w:val="32"/>
          <w:szCs w:val="32"/>
        </w:rPr>
        <w:t>（一）制定标准的原则</w:t>
      </w:r>
    </w:p>
    <w:p w14:paraId="2BD27895">
      <w:pPr>
        <w:ind w:firstLine="640" w:firstLineChars="200"/>
        <w:rPr>
          <w:rFonts w:ascii="仿宋_GB2312" w:eastAsia="仿宋_GB2312"/>
          <w:color w:val="auto"/>
          <w:sz w:val="32"/>
          <w:szCs w:val="32"/>
        </w:rPr>
      </w:pPr>
      <w:r>
        <w:rPr>
          <w:rFonts w:hint="eastAsia" w:ascii="仿宋_GB2312" w:eastAsia="仿宋_GB2312"/>
          <w:color w:val="auto"/>
          <w:sz w:val="32"/>
          <w:szCs w:val="32"/>
        </w:rPr>
        <w:t>（1）符合相关法律法规原则。编制的《</w:t>
      </w:r>
      <w:r>
        <w:rPr>
          <w:rFonts w:hint="eastAsia" w:eastAsia="仿宋_GB2312"/>
          <w:bCs/>
          <w:color w:val="auto"/>
          <w:sz w:val="32"/>
          <w:szCs w:val="32"/>
        </w:rPr>
        <w:t>半枫荷</w:t>
      </w:r>
      <w:r>
        <w:rPr>
          <w:rFonts w:hint="eastAsia" w:ascii="仿宋_GB2312" w:eastAsia="仿宋_GB2312"/>
          <w:color w:val="auto"/>
          <w:sz w:val="32"/>
          <w:szCs w:val="32"/>
        </w:rPr>
        <w:t>培育技术规程》符合《中华人民共和国标准化法》、《中华人民共和国种子法》等以及江西省的相关法律法规和政策性文件规定。</w:t>
      </w:r>
    </w:p>
    <w:p w14:paraId="4468C1D9">
      <w:pPr>
        <w:ind w:firstLine="640" w:firstLineChars="200"/>
        <w:rPr>
          <w:rFonts w:ascii="仿宋_GB2312" w:eastAsia="仿宋_GB2312"/>
          <w:color w:val="auto"/>
          <w:sz w:val="32"/>
          <w:szCs w:val="32"/>
        </w:rPr>
      </w:pPr>
      <w:r>
        <w:rPr>
          <w:rFonts w:hint="eastAsia" w:ascii="仿宋_GB2312" w:eastAsia="仿宋_GB2312"/>
          <w:color w:val="auto"/>
          <w:sz w:val="32"/>
          <w:szCs w:val="32"/>
        </w:rPr>
        <w:t>（2）符合规范性原则。按照GB/T 1.1-2020《标准化工作导则》系列标准的相关要求制定本标准。</w:t>
      </w:r>
    </w:p>
    <w:p w14:paraId="01E173E2">
      <w:pPr>
        <w:ind w:firstLine="640" w:firstLineChars="200"/>
        <w:rPr>
          <w:rFonts w:ascii="仿宋_GB2312" w:eastAsia="仿宋_GB2312"/>
          <w:color w:val="auto"/>
          <w:sz w:val="32"/>
          <w:szCs w:val="32"/>
        </w:rPr>
      </w:pPr>
      <w:r>
        <w:rPr>
          <w:rFonts w:hint="eastAsia" w:ascii="仿宋_GB2312" w:eastAsia="仿宋_GB2312"/>
          <w:color w:val="auto"/>
          <w:sz w:val="32"/>
          <w:szCs w:val="32"/>
        </w:rPr>
        <w:t>（3）符合完整性原则。以理论完善为指导和实践生产试验为前提，该规程规定了</w:t>
      </w:r>
      <w:r>
        <w:rPr>
          <w:rFonts w:hint="eastAsia" w:eastAsia="仿宋_GB2312"/>
          <w:bCs/>
          <w:color w:val="auto"/>
          <w:sz w:val="32"/>
          <w:szCs w:val="32"/>
        </w:rPr>
        <w:t>半枫荷</w:t>
      </w:r>
      <w:r>
        <w:rPr>
          <w:rFonts w:hint="eastAsia" w:ascii="仿宋_GB2312" w:eastAsia="仿宋_GB2312"/>
          <w:color w:val="auto"/>
          <w:sz w:val="32"/>
          <w:szCs w:val="32"/>
        </w:rPr>
        <w:t xml:space="preserve">播种育苗、扦插育苗、嫁接育苗培育、苗木出圃与分级、种植造林和档案管理等技术要求。 </w:t>
      </w:r>
    </w:p>
    <w:p w14:paraId="4127549B">
      <w:pPr>
        <w:ind w:firstLine="640" w:firstLineChars="200"/>
        <w:rPr>
          <w:rFonts w:ascii="仿宋_GB2312" w:eastAsia="仿宋_GB2312"/>
          <w:color w:val="auto"/>
          <w:sz w:val="32"/>
          <w:szCs w:val="32"/>
        </w:rPr>
      </w:pPr>
      <w:r>
        <w:rPr>
          <w:rFonts w:hint="eastAsia" w:ascii="仿宋_GB2312" w:eastAsia="仿宋_GB2312"/>
          <w:color w:val="auto"/>
          <w:sz w:val="32"/>
          <w:szCs w:val="32"/>
        </w:rPr>
        <w:t>（4）符合针对性原则。结合半枫荷药用价值与资源的稀缺性，以及目前还没有专门针对半枫荷培育技术的通用标准现状，在此基础上设定规范性生产技术指标。</w:t>
      </w:r>
    </w:p>
    <w:p w14:paraId="1CE59E4C">
      <w:pPr>
        <w:ind w:firstLine="640" w:firstLineChars="200"/>
        <w:rPr>
          <w:rFonts w:ascii="仿宋_GB2312" w:eastAsia="仿宋_GB2312"/>
          <w:color w:val="auto"/>
          <w:sz w:val="32"/>
          <w:szCs w:val="32"/>
        </w:rPr>
      </w:pPr>
      <w:r>
        <w:rPr>
          <w:rFonts w:hint="eastAsia" w:ascii="仿宋_GB2312" w:eastAsia="仿宋_GB2312"/>
          <w:color w:val="auto"/>
          <w:sz w:val="32"/>
          <w:szCs w:val="32"/>
        </w:rPr>
        <w:t>（5）符合科学性原则。本着规范科学、层次清晰、结构合理，并具先进性的原则，对本项目实施过程中不断完善和成熟的技术和经验，进行科学的归纳、总结、规范、充实和提高，使其生产产量和质量提升显著。</w:t>
      </w:r>
    </w:p>
    <w:p w14:paraId="2FF687E0">
      <w:pPr>
        <w:ind w:firstLine="640" w:firstLineChars="200"/>
        <w:rPr>
          <w:rFonts w:ascii="仿宋_GB2312" w:eastAsia="仿宋_GB2312"/>
          <w:color w:val="auto"/>
          <w:sz w:val="32"/>
          <w:szCs w:val="32"/>
        </w:rPr>
      </w:pPr>
      <w:r>
        <w:rPr>
          <w:rFonts w:hint="eastAsia" w:ascii="仿宋_GB2312" w:eastAsia="仿宋_GB2312"/>
          <w:color w:val="auto"/>
          <w:sz w:val="32"/>
          <w:szCs w:val="32"/>
        </w:rPr>
        <w:t>（6）符合适用性原则。标准内容易于实施，便于被其它文件所引用且具可操作性。本标准便于使用和管理，具有适用性。</w:t>
      </w:r>
    </w:p>
    <w:p w14:paraId="1FC7740B">
      <w:pPr>
        <w:ind w:firstLine="640" w:firstLineChars="200"/>
        <w:rPr>
          <w:rFonts w:ascii="仿宋_GB2312" w:eastAsia="仿宋_GB2312"/>
          <w:color w:val="auto"/>
          <w:sz w:val="32"/>
          <w:szCs w:val="32"/>
        </w:rPr>
      </w:pPr>
      <w:r>
        <w:rPr>
          <w:rFonts w:hint="eastAsia" w:ascii="楷体" w:hAnsi="楷体" w:eastAsia="楷体" w:cs="楷体"/>
          <w:color w:val="auto"/>
          <w:sz w:val="32"/>
          <w:szCs w:val="32"/>
        </w:rPr>
        <w:t>（二）制定标准的依据</w:t>
      </w:r>
    </w:p>
    <w:p w14:paraId="41BB9167">
      <w:pPr>
        <w:ind w:firstLine="640" w:firstLineChars="200"/>
        <w:rPr>
          <w:rFonts w:ascii="仿宋_GB2312" w:eastAsia="仿宋_GB2312"/>
          <w:color w:val="auto"/>
          <w:sz w:val="32"/>
          <w:szCs w:val="32"/>
        </w:rPr>
      </w:pPr>
      <w:r>
        <w:rPr>
          <w:rFonts w:hint="eastAsia" w:ascii="仿宋_GB2312" w:eastAsia="仿宋_GB2312"/>
          <w:color w:val="auto"/>
          <w:sz w:val="32"/>
          <w:szCs w:val="32"/>
        </w:rPr>
        <w:t>本标准的制定依据GB/T 1.1—2020《标准化工作导则 第1部分：标准化文件的结构和起草规则》的要求进行编制，在标准起草过程中参考了GB 2772 林木种子检验规程、GB/T 15776 造林技术规程</w:t>
      </w:r>
      <w:r>
        <w:rPr>
          <w:rFonts w:hint="eastAsia" w:ascii="仿宋_GB2312" w:eastAsia="仿宋_GB2312"/>
          <w:color w:val="auto"/>
          <w:sz w:val="32"/>
          <w:szCs w:val="32"/>
          <w:lang w:eastAsia="zh-CN"/>
        </w:rPr>
        <w:t>、</w:t>
      </w:r>
      <w:r>
        <w:rPr>
          <w:rFonts w:hint="eastAsia" w:ascii="仿宋_GB2312" w:eastAsia="仿宋_GB2312"/>
          <w:color w:val="auto"/>
          <w:sz w:val="32"/>
          <w:szCs w:val="32"/>
        </w:rPr>
        <w:t>LY/T 2289  林木种苗生产经营档案等</w:t>
      </w:r>
      <w:r>
        <w:rPr>
          <w:rFonts w:hint="eastAsia" w:ascii="仿宋_GB2312" w:eastAsia="仿宋_GB2312"/>
          <w:color w:val="auto"/>
          <w:sz w:val="32"/>
          <w:szCs w:val="32"/>
          <w:lang w:val="en-US" w:eastAsia="zh-CN"/>
        </w:rPr>
        <w:t>国家与行业</w:t>
      </w:r>
      <w:r>
        <w:rPr>
          <w:rFonts w:hint="eastAsia" w:ascii="仿宋_GB2312" w:eastAsia="仿宋_GB2312"/>
          <w:color w:val="auto"/>
          <w:sz w:val="32"/>
          <w:szCs w:val="32"/>
        </w:rPr>
        <w:t>标准。</w:t>
      </w:r>
    </w:p>
    <w:p w14:paraId="53C5FA3A">
      <w:pPr>
        <w:ind w:firstLine="640" w:firstLineChars="200"/>
        <w:rPr>
          <w:rFonts w:ascii="仿宋_GB2312" w:eastAsia="仿宋_GB2312"/>
          <w:color w:val="auto"/>
          <w:sz w:val="32"/>
          <w:szCs w:val="32"/>
        </w:rPr>
      </w:pPr>
      <w:r>
        <w:rPr>
          <w:rFonts w:hint="eastAsia" w:ascii="仿宋_GB2312" w:eastAsia="仿宋_GB2312"/>
          <w:color w:val="auto"/>
          <w:sz w:val="32"/>
          <w:szCs w:val="32"/>
        </w:rPr>
        <w:t>同时总结了相关项目的研究成果，参考了近年来本团队的相关研究数据，并征求了有关科研单位林木种苗专家、生产单位管理者、生产基地技术人员和苗圃经营者的意见。</w:t>
      </w:r>
    </w:p>
    <w:p w14:paraId="6D1D6CCB">
      <w:pPr>
        <w:ind w:firstLine="640" w:firstLineChars="200"/>
        <w:rPr>
          <w:rFonts w:ascii="仿宋_GB2312" w:eastAsia="仿宋_GB2312"/>
          <w:color w:val="auto"/>
          <w:sz w:val="32"/>
          <w:szCs w:val="32"/>
        </w:rPr>
      </w:pPr>
      <w:r>
        <w:rPr>
          <w:rFonts w:hint="eastAsia" w:ascii="楷体" w:hAnsi="楷体" w:eastAsia="楷体" w:cs="楷体"/>
          <w:color w:val="auto"/>
          <w:sz w:val="32"/>
          <w:szCs w:val="32"/>
        </w:rPr>
        <w:t>（三）与现行法律、法规、标准的关系</w:t>
      </w:r>
    </w:p>
    <w:p w14:paraId="1CE38CE7">
      <w:pPr>
        <w:ind w:firstLine="640" w:firstLineChars="200"/>
        <w:rPr>
          <w:rFonts w:ascii="仿宋_GB2312" w:eastAsia="仿宋_GB2312"/>
          <w:color w:val="auto"/>
          <w:sz w:val="32"/>
          <w:szCs w:val="32"/>
        </w:rPr>
      </w:pPr>
      <w:r>
        <w:rPr>
          <w:rFonts w:hint="eastAsia" w:ascii="仿宋_GB2312" w:eastAsia="仿宋_GB2312"/>
          <w:color w:val="auto"/>
          <w:sz w:val="32"/>
          <w:szCs w:val="32"/>
        </w:rPr>
        <w:t xml:space="preserve">本文件与我国现行法律、法规、相关国家标准协调一致，无冲突。制定时以符合国家的政策，贯彻国家的法律法规为前提，遵循“规范性、完整性、针对性、科学性、适用性”的原则，并参考以下法律、法规及标准： </w:t>
      </w:r>
    </w:p>
    <w:p w14:paraId="60A135C9">
      <w:pPr>
        <w:ind w:firstLine="640" w:firstLineChars="200"/>
        <w:rPr>
          <w:rFonts w:ascii="仿宋_GB2312" w:eastAsia="仿宋_GB2312"/>
          <w:color w:val="auto"/>
          <w:sz w:val="32"/>
          <w:szCs w:val="32"/>
        </w:rPr>
      </w:pPr>
      <w:r>
        <w:rPr>
          <w:rFonts w:hint="eastAsia" w:ascii="仿宋_GB2312" w:eastAsia="仿宋_GB2312"/>
          <w:color w:val="auto"/>
          <w:sz w:val="32"/>
          <w:szCs w:val="32"/>
        </w:rPr>
        <w:t>《中华人民共和国标准化法》（2018年1月1日起施行）</w:t>
      </w:r>
    </w:p>
    <w:p w14:paraId="23993EE1">
      <w:pPr>
        <w:ind w:firstLine="640" w:firstLineChars="200"/>
        <w:rPr>
          <w:rFonts w:ascii="仿宋_GB2312" w:eastAsia="仿宋_GB2312"/>
          <w:color w:val="auto"/>
          <w:sz w:val="32"/>
          <w:szCs w:val="32"/>
        </w:rPr>
      </w:pPr>
      <w:r>
        <w:rPr>
          <w:rFonts w:hint="eastAsia" w:ascii="仿宋_GB2312" w:eastAsia="仿宋_GB2312"/>
          <w:color w:val="auto"/>
          <w:sz w:val="32"/>
          <w:szCs w:val="32"/>
        </w:rPr>
        <w:t>《中华人民共和国种子法》（2022年3月1日起施行）</w:t>
      </w:r>
    </w:p>
    <w:p w14:paraId="19A8CD0B">
      <w:pPr>
        <w:ind w:firstLine="640" w:firstLineChars="200"/>
        <w:rPr>
          <w:rFonts w:hint="eastAsia" w:ascii="仿宋_GB2312" w:eastAsia="仿宋_GB2312"/>
          <w:color w:val="auto"/>
          <w:sz w:val="32"/>
          <w:szCs w:val="32"/>
        </w:rPr>
      </w:pPr>
      <w:r>
        <w:rPr>
          <w:rFonts w:hint="eastAsia" w:ascii="仿宋_GB2312" w:eastAsia="仿宋_GB2312"/>
          <w:color w:val="auto"/>
          <w:sz w:val="32"/>
          <w:szCs w:val="32"/>
        </w:rPr>
        <w:t>GB/T 2772  林木种子检验规程</w:t>
      </w:r>
    </w:p>
    <w:p w14:paraId="574C9B2A">
      <w:pPr>
        <w:ind w:firstLine="640" w:firstLineChars="200"/>
        <w:rPr>
          <w:rFonts w:hint="eastAsia" w:ascii="仿宋_GB2312" w:eastAsia="仿宋_GB2312"/>
          <w:color w:val="auto"/>
          <w:sz w:val="32"/>
          <w:szCs w:val="32"/>
        </w:rPr>
      </w:pPr>
      <w:r>
        <w:rPr>
          <w:rFonts w:hint="eastAsia" w:ascii="仿宋_GB2312" w:eastAsia="仿宋_GB2312"/>
          <w:color w:val="auto"/>
          <w:sz w:val="32"/>
          <w:szCs w:val="32"/>
        </w:rPr>
        <w:t>GB 3095  环境空气质量标准</w:t>
      </w:r>
    </w:p>
    <w:p w14:paraId="7AA84310">
      <w:pPr>
        <w:ind w:firstLine="640" w:firstLineChars="200"/>
        <w:rPr>
          <w:rFonts w:hint="eastAsia" w:ascii="仿宋_GB2312" w:eastAsia="仿宋_GB2312"/>
          <w:color w:val="auto"/>
          <w:sz w:val="32"/>
          <w:szCs w:val="32"/>
        </w:rPr>
      </w:pPr>
      <w:r>
        <w:rPr>
          <w:rFonts w:hint="eastAsia" w:ascii="仿宋_GB2312" w:eastAsia="仿宋_GB2312"/>
          <w:color w:val="auto"/>
          <w:sz w:val="32"/>
          <w:szCs w:val="32"/>
        </w:rPr>
        <w:t>GB 5084  农田灌溉水质标准</w:t>
      </w:r>
    </w:p>
    <w:p w14:paraId="17AD79F3">
      <w:pPr>
        <w:ind w:firstLine="640" w:firstLineChars="200"/>
        <w:rPr>
          <w:rFonts w:hint="eastAsia" w:ascii="仿宋_GB2312" w:eastAsia="仿宋_GB2312"/>
          <w:color w:val="auto"/>
          <w:sz w:val="32"/>
          <w:szCs w:val="32"/>
        </w:rPr>
      </w:pPr>
      <w:r>
        <w:rPr>
          <w:rFonts w:hint="eastAsia" w:ascii="仿宋_GB2312" w:eastAsia="仿宋_GB2312"/>
          <w:color w:val="auto"/>
          <w:sz w:val="32"/>
          <w:szCs w:val="32"/>
        </w:rPr>
        <w:t>GB/T 8321.10  农药合理使用准则（十）</w:t>
      </w:r>
    </w:p>
    <w:p w14:paraId="4420A99A">
      <w:pPr>
        <w:ind w:firstLine="640" w:firstLineChars="200"/>
        <w:rPr>
          <w:rFonts w:hint="eastAsia" w:ascii="仿宋_GB2312" w:eastAsia="仿宋_GB2312"/>
          <w:color w:val="auto"/>
          <w:sz w:val="32"/>
          <w:szCs w:val="32"/>
        </w:rPr>
      </w:pPr>
      <w:r>
        <w:rPr>
          <w:rFonts w:hint="eastAsia" w:ascii="仿宋_GB2312" w:eastAsia="仿宋_GB2312"/>
          <w:color w:val="auto"/>
          <w:sz w:val="32"/>
          <w:szCs w:val="32"/>
        </w:rPr>
        <w:t>GB 15618 土壤环境质量 农用地土壤污染风险管控标准（试行）</w:t>
      </w:r>
    </w:p>
    <w:p w14:paraId="7FCDA76A">
      <w:pPr>
        <w:ind w:firstLine="640" w:firstLineChars="200"/>
        <w:rPr>
          <w:rFonts w:hint="eastAsia" w:ascii="仿宋_GB2312" w:eastAsia="仿宋_GB2312"/>
          <w:color w:val="auto"/>
          <w:sz w:val="32"/>
          <w:szCs w:val="32"/>
        </w:rPr>
      </w:pPr>
      <w:r>
        <w:rPr>
          <w:rFonts w:hint="eastAsia" w:ascii="仿宋_GB2312" w:eastAsia="仿宋_GB2312"/>
          <w:color w:val="auto"/>
          <w:sz w:val="32"/>
          <w:szCs w:val="32"/>
        </w:rPr>
        <w:t>GB/T 15776 造林技术规程</w:t>
      </w:r>
    </w:p>
    <w:p w14:paraId="2C73B593">
      <w:pPr>
        <w:ind w:firstLine="640" w:firstLineChars="200"/>
        <w:rPr>
          <w:rFonts w:hint="eastAsia" w:ascii="仿宋_GB2312" w:eastAsia="仿宋_GB2312"/>
          <w:color w:val="auto"/>
          <w:sz w:val="32"/>
          <w:szCs w:val="32"/>
        </w:rPr>
      </w:pPr>
      <w:r>
        <w:rPr>
          <w:rFonts w:hint="eastAsia" w:ascii="仿宋_GB2312" w:eastAsia="仿宋_GB2312"/>
          <w:color w:val="auto"/>
          <w:sz w:val="32"/>
          <w:szCs w:val="32"/>
        </w:rPr>
        <w:t>LY/T 2289  林木种苗生产经营档案</w:t>
      </w:r>
    </w:p>
    <w:p w14:paraId="385D8BAE">
      <w:pPr>
        <w:ind w:firstLine="640" w:firstLineChars="200"/>
        <w:rPr>
          <w:rFonts w:hint="eastAsia" w:ascii="仿宋_GB2312" w:eastAsia="仿宋_GB2312"/>
          <w:color w:val="auto"/>
          <w:sz w:val="32"/>
          <w:szCs w:val="32"/>
        </w:rPr>
      </w:pPr>
      <w:r>
        <w:rPr>
          <w:rFonts w:hint="eastAsia" w:ascii="仿宋_GB2312" w:eastAsia="仿宋_GB2312"/>
          <w:color w:val="auto"/>
          <w:sz w:val="32"/>
          <w:szCs w:val="32"/>
        </w:rPr>
        <w:t>LY/T 2290  林木种苗标签</w:t>
      </w:r>
    </w:p>
    <w:p w14:paraId="6CA11D78">
      <w:pPr>
        <w:ind w:firstLine="640" w:firstLineChars="200"/>
        <w:rPr>
          <w:rFonts w:hint="eastAsia" w:ascii="仿宋_GB2312" w:eastAsia="仿宋_GB2312"/>
          <w:color w:val="auto"/>
          <w:sz w:val="32"/>
          <w:szCs w:val="32"/>
        </w:rPr>
      </w:pPr>
      <w:r>
        <w:rPr>
          <w:rFonts w:hint="eastAsia" w:ascii="仿宋_GB2312" w:eastAsia="仿宋_GB2312"/>
          <w:color w:val="auto"/>
          <w:sz w:val="32"/>
          <w:szCs w:val="32"/>
        </w:rPr>
        <w:t>LY/T 2842  林业常用药剂合理使用准则（一）</w:t>
      </w:r>
    </w:p>
    <w:p w14:paraId="2A86B016">
      <w:pPr>
        <w:ind w:firstLine="640" w:firstLineChars="200"/>
        <w:rPr>
          <w:rFonts w:eastAsia="黑体"/>
          <w:color w:val="auto"/>
          <w:sz w:val="32"/>
          <w:szCs w:val="32"/>
        </w:rPr>
      </w:pPr>
      <w:r>
        <w:rPr>
          <w:rFonts w:hint="eastAsia" w:eastAsia="黑体"/>
          <w:color w:val="auto"/>
          <w:sz w:val="32"/>
          <w:szCs w:val="32"/>
        </w:rPr>
        <w:t>五、主要条款的说明</w:t>
      </w:r>
    </w:p>
    <w:p w14:paraId="0C1DFA7C">
      <w:pPr>
        <w:ind w:firstLine="640" w:firstLineChars="200"/>
        <w:rPr>
          <w:rFonts w:eastAsia="仿宋_GB2312"/>
          <w:color w:val="auto"/>
          <w:sz w:val="32"/>
          <w:szCs w:val="32"/>
        </w:rPr>
      </w:pPr>
      <w:r>
        <w:rPr>
          <w:rFonts w:hint="eastAsia" w:eastAsia="仿宋_GB2312"/>
          <w:color w:val="auto"/>
          <w:sz w:val="32"/>
          <w:szCs w:val="32"/>
        </w:rPr>
        <w:t>根据</w:t>
      </w:r>
      <w:r>
        <w:rPr>
          <w:rFonts w:hint="eastAsia" w:ascii="仿宋_GB2312" w:eastAsia="仿宋_GB2312"/>
          <w:color w:val="auto"/>
          <w:sz w:val="32"/>
          <w:szCs w:val="32"/>
        </w:rPr>
        <w:t>半枫荷</w:t>
      </w:r>
      <w:r>
        <w:rPr>
          <w:rFonts w:hint="eastAsia" w:eastAsia="仿宋_GB2312"/>
          <w:color w:val="auto"/>
          <w:sz w:val="32"/>
          <w:szCs w:val="32"/>
        </w:rPr>
        <w:t>培育生产实际情况，结合现有研究成果，编制技术规程中的条款，以保证生产经营需要，育苗和造林的适用性、安全性和有效性，同时注重技术规程的实用性，在规程内容的研究方面做到尽可能全面，既考虑一般性要求</w:t>
      </w:r>
      <w:r>
        <w:rPr>
          <w:rFonts w:hint="eastAsia" w:eastAsia="仿宋_GB2312"/>
          <w:color w:val="auto"/>
          <w:sz w:val="32"/>
          <w:szCs w:val="32"/>
          <w:lang w:eastAsia="zh-CN"/>
        </w:rPr>
        <w:t>，</w:t>
      </w:r>
      <w:r>
        <w:rPr>
          <w:rFonts w:hint="eastAsia" w:eastAsia="仿宋_GB2312"/>
          <w:color w:val="auto"/>
          <w:sz w:val="32"/>
          <w:szCs w:val="32"/>
        </w:rPr>
        <w:t>又有针对性，同时又提出量化的指标，便于操作和应用。</w:t>
      </w:r>
    </w:p>
    <w:p w14:paraId="751F2D40">
      <w:pPr>
        <w:ind w:firstLine="640" w:firstLineChars="200"/>
        <w:rPr>
          <w:rFonts w:eastAsia="仿宋_GB2312"/>
          <w:color w:val="auto"/>
          <w:sz w:val="32"/>
          <w:szCs w:val="32"/>
        </w:rPr>
      </w:pPr>
      <w:r>
        <w:rPr>
          <w:rFonts w:eastAsia="仿宋_GB2312"/>
          <w:color w:val="auto"/>
          <w:sz w:val="32"/>
          <w:szCs w:val="32"/>
        </w:rPr>
        <w:t xml:space="preserve">1. </w:t>
      </w:r>
      <w:r>
        <w:rPr>
          <w:rFonts w:hint="eastAsia" w:eastAsia="仿宋_GB2312"/>
          <w:color w:val="auto"/>
          <w:sz w:val="32"/>
          <w:szCs w:val="32"/>
        </w:rPr>
        <w:t>播种育苗</w:t>
      </w:r>
    </w:p>
    <w:p w14:paraId="4817F805">
      <w:pPr>
        <w:spacing w:line="360" w:lineRule="auto"/>
        <w:ind w:firstLine="640" w:firstLineChars="200"/>
        <w:rPr>
          <w:rFonts w:eastAsia="仿宋_GB2312"/>
          <w:color w:val="auto"/>
          <w:sz w:val="32"/>
          <w:szCs w:val="32"/>
        </w:rPr>
      </w:pPr>
      <w:r>
        <w:rPr>
          <w:rFonts w:hint="eastAsia" w:eastAsia="仿宋_GB2312"/>
          <w:color w:val="auto"/>
          <w:sz w:val="32"/>
          <w:szCs w:val="32"/>
        </w:rPr>
        <w:t>本部分明确了</w:t>
      </w:r>
      <w:r>
        <w:rPr>
          <w:rFonts w:hint="eastAsia" w:ascii="仿宋_GB2312" w:eastAsia="仿宋_GB2312"/>
          <w:color w:val="auto"/>
          <w:sz w:val="32"/>
          <w:szCs w:val="32"/>
        </w:rPr>
        <w:t>半枫荷</w:t>
      </w:r>
      <w:r>
        <w:rPr>
          <w:rFonts w:hint="eastAsia" w:eastAsia="仿宋_GB2312"/>
          <w:color w:val="auto"/>
          <w:sz w:val="32"/>
          <w:szCs w:val="32"/>
        </w:rPr>
        <w:t>种子采集与处理、圃地整地作床、施肥、播种实施和苗期管理</w:t>
      </w:r>
      <w:r>
        <w:rPr>
          <w:rFonts w:hint="eastAsia" w:eastAsia="仿宋_GB2312"/>
          <w:color w:val="auto"/>
          <w:sz w:val="32"/>
          <w:szCs w:val="32"/>
          <w:lang w:val="en-US" w:eastAsia="zh-CN"/>
        </w:rPr>
        <w:t>等</w:t>
      </w:r>
      <w:r>
        <w:rPr>
          <w:rFonts w:hint="eastAsia" w:eastAsia="仿宋_GB2312"/>
          <w:color w:val="auto"/>
          <w:sz w:val="32"/>
          <w:szCs w:val="32"/>
        </w:rPr>
        <w:t>内容。</w:t>
      </w:r>
    </w:p>
    <w:p w14:paraId="5A92B6C0">
      <w:pPr>
        <w:ind w:firstLine="640" w:firstLineChars="200"/>
        <w:rPr>
          <w:rFonts w:eastAsia="仿宋_GB2312"/>
          <w:color w:val="auto"/>
          <w:sz w:val="32"/>
          <w:szCs w:val="32"/>
        </w:rPr>
      </w:pPr>
      <w:r>
        <w:rPr>
          <w:rFonts w:eastAsia="仿宋_GB2312"/>
          <w:color w:val="auto"/>
          <w:sz w:val="32"/>
          <w:szCs w:val="32"/>
        </w:rPr>
        <w:t xml:space="preserve">2. </w:t>
      </w:r>
      <w:r>
        <w:rPr>
          <w:rFonts w:hint="eastAsia" w:eastAsia="仿宋_GB2312"/>
          <w:color w:val="auto"/>
          <w:sz w:val="32"/>
          <w:szCs w:val="32"/>
        </w:rPr>
        <w:t>扦插育苗</w:t>
      </w:r>
    </w:p>
    <w:p w14:paraId="4979C2E9">
      <w:pPr>
        <w:ind w:firstLine="640" w:firstLineChars="200"/>
        <w:rPr>
          <w:rFonts w:eastAsia="仿宋_GB2312"/>
          <w:color w:val="auto"/>
          <w:sz w:val="32"/>
          <w:szCs w:val="32"/>
        </w:rPr>
      </w:pPr>
      <w:r>
        <w:rPr>
          <w:rFonts w:hint="eastAsia" w:eastAsia="仿宋_GB2312"/>
          <w:color w:val="auto"/>
          <w:sz w:val="32"/>
          <w:szCs w:val="32"/>
        </w:rPr>
        <w:t>本部分明确了</w:t>
      </w:r>
      <w:r>
        <w:rPr>
          <w:rFonts w:hint="eastAsia" w:ascii="仿宋_GB2312" w:eastAsia="仿宋_GB2312"/>
          <w:color w:val="auto"/>
          <w:sz w:val="32"/>
          <w:szCs w:val="32"/>
        </w:rPr>
        <w:t>半枫荷扦插苗圃的建立、扦插方法、苗期管理</w:t>
      </w:r>
      <w:r>
        <w:rPr>
          <w:rFonts w:hint="eastAsia" w:eastAsia="仿宋_GB2312"/>
          <w:color w:val="auto"/>
          <w:sz w:val="32"/>
          <w:szCs w:val="32"/>
        </w:rPr>
        <w:t>等内容。</w:t>
      </w:r>
    </w:p>
    <w:p w14:paraId="5F373258">
      <w:pPr>
        <w:ind w:firstLine="640" w:firstLineChars="200"/>
        <w:rPr>
          <w:rFonts w:eastAsia="仿宋_GB2312"/>
          <w:color w:val="auto"/>
          <w:sz w:val="32"/>
          <w:szCs w:val="32"/>
        </w:rPr>
      </w:pPr>
      <w:r>
        <w:rPr>
          <w:rFonts w:eastAsia="仿宋_GB2312"/>
          <w:color w:val="auto"/>
          <w:sz w:val="32"/>
          <w:szCs w:val="32"/>
        </w:rPr>
        <w:t xml:space="preserve">3. </w:t>
      </w:r>
      <w:r>
        <w:rPr>
          <w:rFonts w:hint="eastAsia" w:eastAsia="仿宋_GB2312"/>
          <w:color w:val="auto"/>
          <w:sz w:val="32"/>
          <w:szCs w:val="32"/>
        </w:rPr>
        <w:t>嫁接育苗</w:t>
      </w:r>
    </w:p>
    <w:p w14:paraId="639341AB">
      <w:pPr>
        <w:ind w:firstLine="640" w:firstLineChars="200"/>
        <w:rPr>
          <w:rFonts w:eastAsia="仿宋_GB2312"/>
          <w:color w:val="auto"/>
          <w:sz w:val="32"/>
          <w:szCs w:val="32"/>
        </w:rPr>
      </w:pPr>
      <w:r>
        <w:rPr>
          <w:rFonts w:hint="eastAsia" w:eastAsia="仿宋_GB2312"/>
          <w:color w:val="auto"/>
          <w:sz w:val="32"/>
          <w:szCs w:val="32"/>
        </w:rPr>
        <w:t>本部分明确了</w:t>
      </w:r>
      <w:r>
        <w:rPr>
          <w:rFonts w:hint="eastAsia" w:ascii="仿宋_GB2312" w:eastAsia="仿宋_GB2312"/>
          <w:color w:val="auto"/>
          <w:sz w:val="32"/>
          <w:szCs w:val="32"/>
        </w:rPr>
        <w:t>半枫荷嫁接砧木与接穗的</w:t>
      </w:r>
      <w:r>
        <w:rPr>
          <w:rFonts w:hint="eastAsia" w:ascii="仿宋_GB2312" w:eastAsia="仿宋_GB2312"/>
          <w:color w:val="auto"/>
          <w:sz w:val="32"/>
          <w:szCs w:val="32"/>
          <w:lang w:val="en-US" w:eastAsia="zh-CN"/>
        </w:rPr>
        <w:t>选择</w:t>
      </w:r>
      <w:r>
        <w:rPr>
          <w:rFonts w:hint="eastAsia" w:ascii="仿宋_GB2312" w:eastAsia="仿宋_GB2312"/>
          <w:color w:val="auto"/>
          <w:sz w:val="32"/>
          <w:szCs w:val="32"/>
        </w:rPr>
        <w:t>、嫁接苗培育的具体操作技术</w:t>
      </w:r>
      <w:r>
        <w:rPr>
          <w:rFonts w:hint="eastAsia" w:ascii="仿宋_GB2312" w:eastAsia="仿宋_GB2312"/>
          <w:color w:val="auto"/>
          <w:sz w:val="32"/>
          <w:szCs w:val="32"/>
          <w:lang w:val="en-US" w:eastAsia="zh-CN"/>
        </w:rPr>
        <w:t>方法</w:t>
      </w:r>
      <w:r>
        <w:rPr>
          <w:rFonts w:hint="eastAsia" w:ascii="仿宋_GB2312" w:eastAsia="仿宋_GB2312"/>
          <w:color w:val="auto"/>
          <w:sz w:val="32"/>
          <w:szCs w:val="32"/>
        </w:rPr>
        <w:t>、嫁接苗管理</w:t>
      </w:r>
      <w:r>
        <w:rPr>
          <w:rFonts w:hint="eastAsia" w:eastAsia="仿宋_GB2312"/>
          <w:color w:val="auto"/>
          <w:sz w:val="32"/>
          <w:szCs w:val="32"/>
        </w:rPr>
        <w:t>等内容。</w:t>
      </w:r>
    </w:p>
    <w:p w14:paraId="234B25F3">
      <w:pPr>
        <w:ind w:firstLine="640" w:firstLineChars="200"/>
        <w:rPr>
          <w:rFonts w:eastAsia="仿宋_GB2312"/>
          <w:color w:val="auto"/>
          <w:sz w:val="32"/>
          <w:szCs w:val="32"/>
        </w:rPr>
      </w:pPr>
      <w:r>
        <w:rPr>
          <w:rFonts w:eastAsia="仿宋_GB2312"/>
          <w:color w:val="auto"/>
          <w:sz w:val="32"/>
          <w:szCs w:val="32"/>
        </w:rPr>
        <w:t xml:space="preserve">4. </w:t>
      </w:r>
      <w:r>
        <w:rPr>
          <w:rFonts w:hint="eastAsia" w:eastAsia="仿宋_GB2312"/>
          <w:color w:val="auto"/>
          <w:sz w:val="32"/>
          <w:szCs w:val="32"/>
        </w:rPr>
        <w:t>苗木出圃与分级</w:t>
      </w:r>
    </w:p>
    <w:p w14:paraId="14FB932D">
      <w:pPr>
        <w:ind w:firstLine="640" w:firstLineChars="200"/>
        <w:rPr>
          <w:rFonts w:eastAsia="仿宋_GB2312"/>
          <w:color w:val="auto"/>
          <w:sz w:val="32"/>
          <w:szCs w:val="32"/>
        </w:rPr>
      </w:pPr>
      <w:r>
        <w:rPr>
          <w:rFonts w:hint="eastAsia" w:eastAsia="仿宋_GB2312"/>
          <w:color w:val="auto"/>
          <w:sz w:val="32"/>
          <w:szCs w:val="32"/>
        </w:rPr>
        <w:t>本部分明确了</w:t>
      </w:r>
      <w:r>
        <w:rPr>
          <w:rFonts w:hint="eastAsia" w:ascii="仿宋_GB2312" w:eastAsia="仿宋_GB2312"/>
          <w:color w:val="auto"/>
          <w:sz w:val="32"/>
          <w:szCs w:val="32"/>
        </w:rPr>
        <w:t>半枫荷</w:t>
      </w:r>
      <w:r>
        <w:rPr>
          <w:rFonts w:hint="eastAsia" w:eastAsia="仿宋_GB2312"/>
          <w:color w:val="auto"/>
          <w:sz w:val="32"/>
          <w:szCs w:val="32"/>
        </w:rPr>
        <w:t>苗木起苗、分级和检疫、包装和运输等内容。半枫荷苗木分级标准见附录</w:t>
      </w:r>
      <w:r>
        <w:rPr>
          <w:rFonts w:eastAsia="仿宋_GB2312"/>
          <w:color w:val="auto"/>
          <w:sz w:val="32"/>
          <w:szCs w:val="32"/>
        </w:rPr>
        <w:t>B</w:t>
      </w:r>
      <w:r>
        <w:rPr>
          <w:rFonts w:hint="eastAsia" w:eastAsia="仿宋_GB2312"/>
          <w:color w:val="auto"/>
          <w:sz w:val="32"/>
          <w:szCs w:val="32"/>
        </w:rPr>
        <w:t>。</w:t>
      </w:r>
    </w:p>
    <w:p w14:paraId="1249EC28">
      <w:pPr>
        <w:ind w:firstLine="640" w:firstLineChars="200"/>
        <w:rPr>
          <w:rFonts w:eastAsia="仿宋_GB2312"/>
          <w:color w:val="auto"/>
          <w:sz w:val="32"/>
          <w:szCs w:val="32"/>
        </w:rPr>
      </w:pPr>
      <w:r>
        <w:rPr>
          <w:rFonts w:eastAsia="仿宋_GB2312"/>
          <w:color w:val="auto"/>
          <w:sz w:val="32"/>
          <w:szCs w:val="32"/>
        </w:rPr>
        <w:t xml:space="preserve">5. </w:t>
      </w:r>
      <w:r>
        <w:rPr>
          <w:rFonts w:hint="eastAsia" w:eastAsia="仿宋_GB2312"/>
          <w:color w:val="auto"/>
          <w:sz w:val="32"/>
          <w:szCs w:val="32"/>
        </w:rPr>
        <w:t>造林</w:t>
      </w:r>
    </w:p>
    <w:p w14:paraId="38F586F5">
      <w:pPr>
        <w:ind w:firstLine="640" w:firstLineChars="200"/>
        <w:rPr>
          <w:rFonts w:eastAsia="仿宋_GB2312"/>
          <w:color w:val="auto"/>
          <w:sz w:val="32"/>
          <w:szCs w:val="32"/>
        </w:rPr>
      </w:pPr>
      <w:r>
        <w:rPr>
          <w:rFonts w:hint="eastAsia" w:eastAsia="仿宋_GB2312"/>
          <w:color w:val="auto"/>
          <w:sz w:val="32"/>
          <w:szCs w:val="32"/>
        </w:rPr>
        <w:t>本部分明确了</w:t>
      </w:r>
      <w:r>
        <w:rPr>
          <w:rFonts w:hint="eastAsia" w:ascii="仿宋_GB2312" w:eastAsia="仿宋_GB2312"/>
          <w:color w:val="auto"/>
          <w:sz w:val="32"/>
          <w:szCs w:val="32"/>
        </w:rPr>
        <w:t>半枫荷</w:t>
      </w:r>
      <w:r>
        <w:rPr>
          <w:rFonts w:hint="eastAsia" w:eastAsia="仿宋_GB2312"/>
          <w:color w:val="auto"/>
          <w:sz w:val="32"/>
          <w:szCs w:val="32"/>
        </w:rPr>
        <w:t>的造林地选择、整地、栽植时间、栽植方式、造林密度及抚育管理等内容。</w:t>
      </w:r>
    </w:p>
    <w:p w14:paraId="30B698A9">
      <w:pPr>
        <w:ind w:firstLine="640" w:firstLineChars="200"/>
        <w:rPr>
          <w:rFonts w:hint="default" w:eastAsia="仿宋_GB2312"/>
          <w:color w:val="auto"/>
          <w:sz w:val="32"/>
          <w:szCs w:val="32"/>
          <w:lang w:val="en-US" w:eastAsia="zh-CN"/>
        </w:rPr>
      </w:pPr>
      <w:r>
        <w:rPr>
          <w:rFonts w:eastAsia="仿宋_GB2312"/>
          <w:color w:val="auto"/>
          <w:sz w:val="32"/>
          <w:szCs w:val="32"/>
        </w:rPr>
        <w:t xml:space="preserve">6. </w:t>
      </w:r>
      <w:r>
        <w:rPr>
          <w:rFonts w:hint="eastAsia" w:eastAsia="仿宋_GB2312"/>
          <w:color w:val="auto"/>
          <w:sz w:val="32"/>
          <w:szCs w:val="32"/>
          <w:lang w:val="en-US" w:eastAsia="zh-CN"/>
        </w:rPr>
        <w:t>有害生物防治</w:t>
      </w:r>
    </w:p>
    <w:p w14:paraId="1C9A9F27">
      <w:pPr>
        <w:ind w:firstLine="640" w:firstLineChars="200"/>
        <w:rPr>
          <w:rFonts w:hint="eastAsia" w:eastAsia="仿宋_GB2312"/>
          <w:color w:val="auto"/>
          <w:sz w:val="32"/>
          <w:szCs w:val="32"/>
          <w:lang w:eastAsia="zh-CN"/>
        </w:rPr>
      </w:pPr>
      <w:r>
        <w:rPr>
          <w:rFonts w:hint="eastAsia" w:eastAsia="仿宋_GB2312"/>
          <w:color w:val="auto"/>
          <w:sz w:val="32"/>
          <w:szCs w:val="32"/>
        </w:rPr>
        <w:t>本部分明确了半枫荷各阶段有害生物防治方法</w:t>
      </w:r>
      <w:r>
        <w:rPr>
          <w:rFonts w:hint="eastAsia" w:eastAsia="仿宋_GB2312"/>
          <w:color w:val="auto"/>
          <w:sz w:val="32"/>
          <w:szCs w:val="32"/>
          <w:lang w:eastAsia="zh-CN"/>
        </w:rPr>
        <w:t>，</w:t>
      </w:r>
      <w:r>
        <w:rPr>
          <w:rFonts w:hint="eastAsia" w:eastAsia="仿宋_GB2312"/>
          <w:color w:val="auto"/>
          <w:sz w:val="32"/>
          <w:szCs w:val="32"/>
        </w:rPr>
        <w:t>见附录A</w:t>
      </w:r>
      <w:r>
        <w:rPr>
          <w:rFonts w:hint="eastAsia" w:eastAsia="仿宋_GB2312"/>
          <w:color w:val="auto"/>
          <w:sz w:val="32"/>
          <w:szCs w:val="32"/>
          <w:lang w:eastAsia="zh-CN"/>
        </w:rPr>
        <w:t>。</w:t>
      </w:r>
    </w:p>
    <w:p w14:paraId="3E474955">
      <w:pPr>
        <w:ind w:firstLine="640" w:firstLineChars="200"/>
        <w:rPr>
          <w:rFonts w:eastAsia="仿宋_GB2312"/>
          <w:color w:val="auto"/>
          <w:sz w:val="32"/>
          <w:szCs w:val="32"/>
        </w:rPr>
      </w:pPr>
      <w:r>
        <w:rPr>
          <w:rFonts w:hint="eastAsia" w:eastAsia="仿宋_GB2312"/>
          <w:color w:val="auto"/>
          <w:sz w:val="32"/>
          <w:szCs w:val="32"/>
          <w:lang w:val="en-US" w:eastAsia="zh-CN"/>
        </w:rPr>
        <w:t>7</w:t>
      </w:r>
      <w:r>
        <w:rPr>
          <w:rFonts w:eastAsia="仿宋_GB2312"/>
          <w:color w:val="auto"/>
          <w:sz w:val="32"/>
          <w:szCs w:val="32"/>
        </w:rPr>
        <w:t xml:space="preserve">. </w:t>
      </w:r>
      <w:r>
        <w:rPr>
          <w:rFonts w:hint="eastAsia" w:eastAsia="仿宋_GB2312"/>
          <w:color w:val="auto"/>
          <w:sz w:val="32"/>
          <w:szCs w:val="32"/>
        </w:rPr>
        <w:t>档案管理</w:t>
      </w:r>
    </w:p>
    <w:p w14:paraId="4FD52409">
      <w:pPr>
        <w:ind w:firstLine="640" w:firstLineChars="200"/>
        <w:rPr>
          <w:rFonts w:eastAsia="仿宋_GB2312"/>
          <w:color w:val="auto"/>
          <w:sz w:val="32"/>
          <w:szCs w:val="32"/>
        </w:rPr>
      </w:pPr>
      <w:r>
        <w:rPr>
          <w:rFonts w:hint="eastAsia" w:eastAsia="仿宋_GB2312"/>
          <w:color w:val="auto"/>
          <w:sz w:val="32"/>
          <w:szCs w:val="32"/>
        </w:rPr>
        <w:t>本部分明确了</w:t>
      </w:r>
      <w:r>
        <w:rPr>
          <w:rFonts w:hint="eastAsia" w:ascii="仿宋_GB2312" w:eastAsia="仿宋_GB2312"/>
          <w:color w:val="auto"/>
          <w:sz w:val="32"/>
          <w:szCs w:val="32"/>
        </w:rPr>
        <w:t>半枫荷</w:t>
      </w:r>
      <w:r>
        <w:rPr>
          <w:rFonts w:hint="eastAsia" w:eastAsia="仿宋_GB2312"/>
          <w:color w:val="auto"/>
          <w:sz w:val="32"/>
          <w:szCs w:val="32"/>
        </w:rPr>
        <w:t>育苗和造林过程中的技术档案管理分别</w:t>
      </w:r>
      <w:r>
        <w:rPr>
          <w:rFonts w:hint="eastAsia" w:eastAsia="仿宋_GB2312"/>
          <w:color w:val="auto"/>
          <w:sz w:val="32"/>
          <w:szCs w:val="32"/>
          <w:lang w:val="en-US" w:eastAsia="zh-CN"/>
        </w:rPr>
        <w:t>按</w:t>
      </w:r>
      <w:r>
        <w:rPr>
          <w:rFonts w:hint="eastAsia" w:eastAsia="仿宋_GB2312"/>
          <w:color w:val="auto"/>
          <w:sz w:val="32"/>
          <w:szCs w:val="32"/>
        </w:rPr>
        <w:t>照</w:t>
      </w:r>
      <w:r>
        <w:rPr>
          <w:rFonts w:eastAsia="仿宋_GB2312"/>
          <w:color w:val="auto"/>
          <w:sz w:val="32"/>
          <w:szCs w:val="32"/>
        </w:rPr>
        <w:t>LY/T 2289</w:t>
      </w:r>
      <w:r>
        <w:rPr>
          <w:rFonts w:hint="eastAsia" w:eastAsia="仿宋_GB2312"/>
          <w:color w:val="auto"/>
          <w:sz w:val="32"/>
          <w:szCs w:val="32"/>
        </w:rPr>
        <w:t>和</w:t>
      </w:r>
      <w:r>
        <w:rPr>
          <w:rFonts w:eastAsia="仿宋_GB2312"/>
          <w:color w:val="auto"/>
          <w:sz w:val="32"/>
          <w:szCs w:val="32"/>
        </w:rPr>
        <w:t xml:space="preserve">GB/T 15776 </w:t>
      </w:r>
      <w:r>
        <w:rPr>
          <w:rFonts w:hint="eastAsia" w:eastAsia="仿宋_GB2312"/>
          <w:color w:val="auto"/>
          <w:sz w:val="32"/>
          <w:szCs w:val="32"/>
        </w:rPr>
        <w:t>的相关规定执行。</w:t>
      </w:r>
    </w:p>
    <w:p w14:paraId="3ED44529">
      <w:pPr>
        <w:ind w:firstLine="640" w:firstLineChars="200"/>
        <w:rPr>
          <w:rFonts w:eastAsia="黑体"/>
          <w:color w:val="auto"/>
          <w:sz w:val="32"/>
          <w:szCs w:val="32"/>
        </w:rPr>
      </w:pPr>
      <w:r>
        <w:rPr>
          <w:rFonts w:hint="eastAsia" w:eastAsia="黑体"/>
          <w:color w:val="auto"/>
          <w:sz w:val="32"/>
          <w:szCs w:val="32"/>
        </w:rPr>
        <w:t>六、重大意见分歧的处理依据和结果</w:t>
      </w:r>
    </w:p>
    <w:p w14:paraId="706E1234">
      <w:pPr>
        <w:ind w:firstLine="640" w:firstLineChars="200"/>
        <w:rPr>
          <w:rFonts w:eastAsia="仿宋_GB2312"/>
          <w:color w:val="auto"/>
          <w:sz w:val="32"/>
          <w:szCs w:val="32"/>
        </w:rPr>
      </w:pPr>
      <w:bookmarkStart w:id="0" w:name="_Hlk76301151"/>
      <w:r>
        <w:rPr>
          <w:rFonts w:hint="eastAsia" w:eastAsia="仿宋_GB2312"/>
          <w:color w:val="auto"/>
          <w:sz w:val="32"/>
          <w:szCs w:val="32"/>
        </w:rPr>
        <w:t>广泛征求科研单位和生产单位意见，待征求意见返回后再进行处理。</w:t>
      </w:r>
    </w:p>
    <w:bookmarkEnd w:id="0"/>
    <w:p w14:paraId="49BD4CB3">
      <w:pPr>
        <w:ind w:firstLine="640" w:firstLineChars="200"/>
        <w:rPr>
          <w:rFonts w:eastAsia="黑体"/>
          <w:color w:val="auto"/>
          <w:sz w:val="32"/>
          <w:szCs w:val="32"/>
        </w:rPr>
      </w:pPr>
      <w:r>
        <w:rPr>
          <w:rFonts w:hint="eastAsia" w:eastAsia="黑体"/>
          <w:color w:val="auto"/>
          <w:sz w:val="32"/>
          <w:szCs w:val="32"/>
        </w:rPr>
        <w:t>七、作为推荐性或强制性标准的建议及其理由</w:t>
      </w:r>
    </w:p>
    <w:p w14:paraId="7E3459F2">
      <w:pPr>
        <w:ind w:firstLine="640" w:firstLineChars="200"/>
        <w:rPr>
          <w:rFonts w:eastAsia="仿宋_GB2312"/>
          <w:color w:val="auto"/>
          <w:sz w:val="32"/>
          <w:szCs w:val="32"/>
        </w:rPr>
      </w:pPr>
      <w:r>
        <w:rPr>
          <w:rFonts w:hint="eastAsia" w:eastAsia="仿宋_GB2312"/>
          <w:color w:val="auto"/>
          <w:sz w:val="32"/>
          <w:szCs w:val="32"/>
        </w:rPr>
        <w:t>建议《</w:t>
      </w:r>
      <w:r>
        <w:rPr>
          <w:rFonts w:hint="eastAsia" w:ascii="仿宋_GB2312" w:eastAsia="仿宋_GB2312"/>
          <w:color w:val="auto"/>
          <w:sz w:val="32"/>
          <w:szCs w:val="32"/>
        </w:rPr>
        <w:t>半枫荷</w:t>
      </w:r>
      <w:r>
        <w:rPr>
          <w:rFonts w:hint="eastAsia" w:eastAsia="仿宋_GB2312"/>
          <w:color w:val="auto"/>
          <w:sz w:val="32"/>
          <w:szCs w:val="32"/>
        </w:rPr>
        <w:t>培育技术规程》地方标准作为推荐性标准发布实施。</w:t>
      </w:r>
    </w:p>
    <w:p w14:paraId="396BA0D6">
      <w:pPr>
        <w:ind w:firstLine="640" w:firstLineChars="200"/>
        <w:rPr>
          <w:rFonts w:eastAsia="黑体"/>
          <w:color w:val="auto"/>
          <w:sz w:val="32"/>
          <w:szCs w:val="32"/>
        </w:rPr>
      </w:pPr>
      <w:r>
        <w:rPr>
          <w:rFonts w:hint="eastAsia" w:eastAsia="黑体"/>
          <w:color w:val="auto"/>
          <w:sz w:val="32"/>
          <w:szCs w:val="32"/>
        </w:rPr>
        <w:t>八、贯彻标准的措施建议</w:t>
      </w:r>
    </w:p>
    <w:p w14:paraId="7105F866">
      <w:pPr>
        <w:ind w:firstLine="640" w:firstLineChars="200"/>
        <w:rPr>
          <w:rFonts w:ascii="仿宋_GB2312" w:eastAsia="仿宋_GB2312"/>
          <w:color w:val="auto"/>
          <w:sz w:val="32"/>
          <w:szCs w:val="32"/>
        </w:rPr>
      </w:pPr>
      <w:r>
        <w:rPr>
          <w:rFonts w:hint="eastAsia" w:ascii="仿宋_GB2312" w:eastAsia="仿宋_GB2312"/>
          <w:color w:val="auto"/>
          <w:sz w:val="32"/>
          <w:szCs w:val="32"/>
        </w:rPr>
        <w:t>本标准的制定、发布和实施，将会使半枫荷培育技术规范化和科学化，有利于半枫荷种苗产业与药用植物资源的发展。因此，对贯彻标准的措施建议如下：</w:t>
      </w:r>
    </w:p>
    <w:p w14:paraId="0D1745E9">
      <w:pPr>
        <w:ind w:firstLine="640" w:firstLineChars="200"/>
        <w:rPr>
          <w:rFonts w:ascii="仿宋_GB2312" w:eastAsia="仿宋_GB2312"/>
          <w:color w:val="auto"/>
          <w:sz w:val="32"/>
          <w:szCs w:val="32"/>
        </w:rPr>
      </w:pPr>
      <w:r>
        <w:rPr>
          <w:rFonts w:hint="eastAsia" w:ascii="楷体" w:hAnsi="楷体" w:eastAsia="楷体" w:cs="楷体"/>
          <w:color w:val="auto"/>
          <w:sz w:val="32"/>
          <w:szCs w:val="32"/>
        </w:rPr>
        <w:t>（一）及时贯彻宣传</w:t>
      </w:r>
    </w:p>
    <w:p w14:paraId="50E1C200">
      <w:pPr>
        <w:ind w:firstLine="640" w:firstLineChars="200"/>
        <w:rPr>
          <w:rFonts w:ascii="仿宋_GB2312" w:eastAsia="仿宋_GB2312"/>
          <w:color w:val="auto"/>
          <w:sz w:val="32"/>
          <w:szCs w:val="32"/>
        </w:rPr>
      </w:pPr>
      <w:r>
        <w:rPr>
          <w:rFonts w:hint="eastAsia" w:ascii="仿宋_GB2312" w:eastAsia="仿宋_GB2312"/>
          <w:color w:val="auto"/>
          <w:sz w:val="32"/>
          <w:szCs w:val="32"/>
        </w:rPr>
        <w:t>建议有关部门督促各生产单位与企业等按统一的指标要求，严格执行半枫荷</w:t>
      </w:r>
      <w:r>
        <w:rPr>
          <w:rFonts w:hint="eastAsia" w:eastAsia="仿宋_GB2312"/>
          <w:color w:val="auto"/>
          <w:sz w:val="32"/>
          <w:szCs w:val="32"/>
        </w:rPr>
        <w:t>培育</w:t>
      </w:r>
      <w:r>
        <w:rPr>
          <w:rFonts w:hint="eastAsia" w:ascii="仿宋_GB2312" w:eastAsia="仿宋_GB2312"/>
          <w:color w:val="auto"/>
          <w:sz w:val="32"/>
          <w:szCs w:val="32"/>
        </w:rPr>
        <w:t>技术</w:t>
      </w:r>
      <w:r>
        <w:rPr>
          <w:rFonts w:hint="eastAsia" w:eastAsia="仿宋_GB2312"/>
          <w:color w:val="auto"/>
          <w:sz w:val="32"/>
          <w:szCs w:val="32"/>
        </w:rPr>
        <w:t>规程要求</w:t>
      </w:r>
      <w:r>
        <w:rPr>
          <w:rFonts w:hint="eastAsia" w:ascii="仿宋_GB2312" w:eastAsia="仿宋_GB2312"/>
          <w:color w:val="auto"/>
          <w:sz w:val="32"/>
          <w:szCs w:val="32"/>
        </w:rPr>
        <w:t>。标准的内容免费公示在媒体网络上，便于生产者和经营者随时查看了解，持续做好标准的宣传贯彻工作。实施前保证文本的充足供应，让相关人员及时准确地了解和掌握标准的有关规定，以保证标准的顺利实施，使本标准能充分发挥其统一化、规范化和科学化作用。</w:t>
      </w:r>
    </w:p>
    <w:p w14:paraId="7FDC6957">
      <w:pPr>
        <w:ind w:firstLine="640" w:firstLineChars="200"/>
        <w:rPr>
          <w:rFonts w:ascii="仿宋_GB2312" w:eastAsia="仿宋_GB2312"/>
          <w:color w:val="auto"/>
          <w:sz w:val="32"/>
          <w:szCs w:val="32"/>
        </w:rPr>
      </w:pPr>
      <w:r>
        <w:rPr>
          <w:rFonts w:hint="eastAsia" w:ascii="楷体" w:hAnsi="楷体" w:eastAsia="楷体" w:cs="楷体"/>
          <w:color w:val="auto"/>
          <w:sz w:val="32"/>
          <w:szCs w:val="32"/>
        </w:rPr>
        <w:t>（二）技术培训保障</w:t>
      </w:r>
    </w:p>
    <w:p w14:paraId="45C22BA9">
      <w:pPr>
        <w:ind w:firstLine="640" w:firstLineChars="200"/>
        <w:rPr>
          <w:rFonts w:ascii="仿宋_GB2312" w:eastAsia="仿宋_GB2312"/>
          <w:color w:val="auto"/>
          <w:sz w:val="32"/>
          <w:szCs w:val="32"/>
        </w:rPr>
      </w:pPr>
      <w:r>
        <w:rPr>
          <w:rFonts w:hint="eastAsia" w:ascii="仿宋_GB2312" w:eastAsia="仿宋_GB2312"/>
          <w:color w:val="auto"/>
          <w:sz w:val="32"/>
          <w:szCs w:val="32"/>
        </w:rPr>
        <w:t>贯彻标准过程中实行技术专家负责制，项目的实施由技术专家进行方案审定和可行性研究，在项目实施前进行技术培训，使生产单位技术人员能详细了解标准程序要求、具体技术要点难点和质量标准等，保障标准的正确实施。</w:t>
      </w:r>
    </w:p>
    <w:p w14:paraId="4511D261">
      <w:pPr>
        <w:ind w:firstLine="640" w:firstLineChars="200"/>
        <w:rPr>
          <w:rFonts w:ascii="仿宋_GB2312" w:eastAsia="仿宋_GB2312"/>
          <w:color w:val="auto"/>
          <w:sz w:val="32"/>
          <w:szCs w:val="32"/>
        </w:rPr>
      </w:pPr>
      <w:r>
        <w:rPr>
          <w:rFonts w:hint="eastAsia" w:ascii="楷体" w:hAnsi="楷体" w:eastAsia="楷体" w:cs="楷体"/>
          <w:color w:val="auto"/>
          <w:sz w:val="32"/>
          <w:szCs w:val="32"/>
        </w:rPr>
        <w:t>（三）标准实施反馈</w:t>
      </w:r>
    </w:p>
    <w:p w14:paraId="57C0A0DD">
      <w:pPr>
        <w:ind w:firstLine="640" w:firstLineChars="200"/>
        <w:rPr>
          <w:rFonts w:eastAsia="仿宋_GB2312"/>
          <w:color w:val="auto"/>
          <w:sz w:val="32"/>
          <w:szCs w:val="32"/>
        </w:rPr>
      </w:pPr>
      <w:r>
        <w:rPr>
          <w:rFonts w:hint="eastAsia" w:ascii="仿宋_GB2312" w:eastAsia="仿宋_GB2312"/>
          <w:color w:val="auto"/>
          <w:sz w:val="32"/>
          <w:szCs w:val="32"/>
        </w:rPr>
        <w:t>标准项目组在技术培训、生产指导实施过程中注重收集生产一线人员反馈的问题信息，各级管理部门、生产部门和有关经营企业，应将本标准的执行情况以及所发现的问题及时反馈到主管部门或本标准的起草单位，以便及时修订完善本标准。</w:t>
      </w:r>
    </w:p>
    <w:p w14:paraId="13E81F05">
      <w:pPr>
        <w:ind w:firstLine="640" w:firstLineChars="200"/>
        <w:rPr>
          <w:rFonts w:eastAsia="黑体"/>
          <w:color w:val="auto"/>
          <w:sz w:val="32"/>
          <w:szCs w:val="32"/>
        </w:rPr>
      </w:pPr>
      <w:r>
        <w:rPr>
          <w:rFonts w:hint="eastAsia" w:eastAsia="黑体"/>
          <w:color w:val="auto"/>
          <w:sz w:val="32"/>
          <w:szCs w:val="32"/>
        </w:rPr>
        <w:t>九、其他应说明的事项</w:t>
      </w:r>
      <w:r>
        <w:rPr>
          <w:rFonts w:eastAsia="黑体"/>
          <w:color w:val="auto"/>
          <w:sz w:val="32"/>
          <w:szCs w:val="32"/>
        </w:rPr>
        <w:t>(</w:t>
      </w:r>
      <w:r>
        <w:rPr>
          <w:rFonts w:hint="eastAsia" w:eastAsia="黑体"/>
          <w:color w:val="auto"/>
          <w:sz w:val="32"/>
          <w:szCs w:val="32"/>
        </w:rPr>
        <w:t>选填项</w:t>
      </w:r>
      <w:r>
        <w:rPr>
          <w:rFonts w:eastAsia="黑体"/>
          <w:color w:val="auto"/>
          <w:sz w:val="32"/>
          <w:szCs w:val="32"/>
        </w:rPr>
        <w:t>)</w:t>
      </w:r>
    </w:p>
    <w:p w14:paraId="4AFAC966">
      <w:pPr>
        <w:ind w:firstLine="640" w:firstLineChars="200"/>
        <w:rPr>
          <w:rFonts w:eastAsia="仿宋_GB2312"/>
          <w:color w:val="auto"/>
          <w:sz w:val="32"/>
          <w:szCs w:val="32"/>
        </w:rPr>
      </w:pPr>
      <w:r>
        <w:rPr>
          <w:rFonts w:hint="eastAsia" w:eastAsia="仿宋_GB2312"/>
          <w:color w:val="auto"/>
          <w:sz w:val="32"/>
          <w:szCs w:val="32"/>
        </w:rPr>
        <w:t>无</w:t>
      </w:r>
    </w:p>
    <w:p w14:paraId="120D2BF1">
      <w:pPr>
        <w:rPr>
          <w:rFonts w:eastAsia="黑体"/>
          <w:color w:val="auto"/>
          <w:sz w:val="32"/>
          <w:szCs w:val="32"/>
        </w:rPr>
      </w:pPr>
    </w:p>
    <w:p w14:paraId="1E5B86E2">
      <w:pPr>
        <w:ind w:firstLine="1600" w:firstLineChars="500"/>
        <w:jc w:val="right"/>
        <w:rPr>
          <w:rFonts w:eastAsia="仿宋_GB2312"/>
          <w:color w:val="auto"/>
          <w:sz w:val="32"/>
          <w:szCs w:val="32"/>
        </w:rPr>
      </w:pPr>
      <w:r>
        <w:rPr>
          <w:rFonts w:hint="eastAsia" w:eastAsia="仿宋_GB2312"/>
          <w:color w:val="auto"/>
          <w:sz w:val="32"/>
          <w:szCs w:val="32"/>
        </w:rPr>
        <w:t>《</w:t>
      </w:r>
      <w:r>
        <w:rPr>
          <w:rFonts w:hint="eastAsia" w:ascii="仿宋_GB2312" w:eastAsia="仿宋_GB2312"/>
          <w:color w:val="auto"/>
          <w:sz w:val="32"/>
          <w:szCs w:val="32"/>
        </w:rPr>
        <w:t>半枫荷</w:t>
      </w:r>
      <w:r>
        <w:rPr>
          <w:rFonts w:hint="eastAsia" w:eastAsia="仿宋_GB2312"/>
          <w:color w:val="auto"/>
          <w:sz w:val="32"/>
          <w:szCs w:val="32"/>
        </w:rPr>
        <w:t>培育技术规程》标准起草小组</w:t>
      </w:r>
    </w:p>
    <w:p w14:paraId="385246C5">
      <w:pPr>
        <w:ind w:left="2940" w:leftChars="1400" w:firstLine="320" w:firstLineChars="100"/>
        <w:rPr>
          <w:rFonts w:eastAsia="仿宋_GB2312"/>
          <w:color w:val="auto"/>
          <w:sz w:val="32"/>
          <w:szCs w:val="32"/>
        </w:rPr>
      </w:pPr>
      <w:r>
        <w:rPr>
          <w:rFonts w:hint="eastAsia" w:eastAsia="仿宋_GB2312"/>
          <w:color w:val="auto"/>
          <w:sz w:val="32"/>
          <w:szCs w:val="32"/>
        </w:rPr>
        <w:t>　</w:t>
      </w:r>
      <w:r>
        <w:rPr>
          <w:rFonts w:eastAsia="仿宋_GB2312"/>
          <w:color w:val="auto"/>
          <w:sz w:val="32"/>
          <w:szCs w:val="32"/>
        </w:rPr>
        <w:t xml:space="preserve">             202</w:t>
      </w:r>
      <w:r>
        <w:rPr>
          <w:rFonts w:hint="eastAsia" w:eastAsia="仿宋_GB2312"/>
          <w:color w:val="auto"/>
          <w:sz w:val="32"/>
          <w:szCs w:val="32"/>
          <w:lang w:val="en-US" w:eastAsia="zh-CN"/>
        </w:rPr>
        <w:t>5</w:t>
      </w:r>
      <w:r>
        <w:rPr>
          <w:rFonts w:hint="eastAsia" w:eastAsia="仿宋_GB2312"/>
          <w:color w:val="auto"/>
          <w:sz w:val="32"/>
          <w:szCs w:val="32"/>
        </w:rPr>
        <w:t>年</w:t>
      </w:r>
      <w:r>
        <w:rPr>
          <w:rFonts w:hint="eastAsia" w:eastAsia="仿宋_GB2312"/>
          <w:color w:val="auto"/>
          <w:sz w:val="32"/>
          <w:szCs w:val="32"/>
          <w:lang w:val="en-US" w:eastAsia="zh-CN"/>
        </w:rPr>
        <w:t>4</w:t>
      </w:r>
      <w:r>
        <w:rPr>
          <w:rFonts w:hint="eastAsia" w:eastAsia="仿宋_GB2312"/>
          <w:color w:val="auto"/>
          <w:sz w:val="32"/>
          <w:szCs w:val="32"/>
        </w:rPr>
        <w:t>月</w:t>
      </w:r>
      <w:r>
        <w:rPr>
          <w:rFonts w:hint="eastAsia" w:eastAsia="仿宋_GB2312"/>
          <w:color w:val="auto"/>
          <w:sz w:val="32"/>
          <w:szCs w:val="32"/>
          <w:lang w:val="en-US" w:eastAsia="zh-CN"/>
        </w:rPr>
        <w:t>15</w:t>
      </w:r>
      <w:r>
        <w:rPr>
          <w:rFonts w:hint="eastAsia" w:eastAsia="仿宋_GB2312"/>
          <w:color w:val="auto"/>
          <w:sz w:val="32"/>
          <w:szCs w:val="32"/>
        </w:rPr>
        <w:t>日</w:t>
      </w:r>
    </w:p>
    <w:p w14:paraId="4771D606">
      <w:pPr>
        <w:ind w:firstLine="640" w:firstLineChars="200"/>
        <w:rPr>
          <w:rFonts w:eastAsia="仿宋_GB2312"/>
          <w:color w:val="auto"/>
          <w:sz w:val="32"/>
          <w:szCs w:val="32"/>
        </w:rPr>
      </w:pPr>
    </w:p>
    <w:p w14:paraId="2A058C33">
      <w:pPr>
        <w:rPr>
          <w:color w:val="auto"/>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2A79"/>
    <w:rsid w:val="00031AB1"/>
    <w:rsid w:val="00042A79"/>
    <w:rsid w:val="00070444"/>
    <w:rsid w:val="000F4743"/>
    <w:rsid w:val="00140FDD"/>
    <w:rsid w:val="001A532E"/>
    <w:rsid w:val="001F6978"/>
    <w:rsid w:val="00240523"/>
    <w:rsid w:val="004A3CC6"/>
    <w:rsid w:val="004A4C3D"/>
    <w:rsid w:val="00556A29"/>
    <w:rsid w:val="0057125B"/>
    <w:rsid w:val="0060469B"/>
    <w:rsid w:val="00643220"/>
    <w:rsid w:val="006708AC"/>
    <w:rsid w:val="007240C3"/>
    <w:rsid w:val="007B2243"/>
    <w:rsid w:val="008642D0"/>
    <w:rsid w:val="00974442"/>
    <w:rsid w:val="009A6D64"/>
    <w:rsid w:val="00A27FEB"/>
    <w:rsid w:val="00B23A5B"/>
    <w:rsid w:val="00B513A5"/>
    <w:rsid w:val="00DD2995"/>
    <w:rsid w:val="00DD6F14"/>
    <w:rsid w:val="00E438AC"/>
    <w:rsid w:val="00ED58D6"/>
    <w:rsid w:val="00FF49C6"/>
    <w:rsid w:val="053E4A03"/>
    <w:rsid w:val="058C7E64"/>
    <w:rsid w:val="23F23130"/>
    <w:rsid w:val="26B46523"/>
    <w:rsid w:val="2F9C6646"/>
    <w:rsid w:val="4DBD7A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14:ligatures w14:val="none"/>
    </w:rPr>
  </w:style>
  <w:style w:type="paragraph" w:styleId="2">
    <w:name w:val="heading 1"/>
    <w:basedOn w:val="1"/>
    <w:next w:val="1"/>
    <w:link w:val="17"/>
    <w:qFormat/>
    <w:uiPriority w:val="9"/>
    <w:pPr>
      <w:keepNext/>
      <w:keepLines/>
      <w:spacing w:before="480" w:after="80" w:line="278" w:lineRule="auto"/>
      <w:jc w:val="left"/>
      <w:outlineLvl w:val="0"/>
    </w:pPr>
    <w:rPr>
      <w:rFonts w:asciiTheme="majorHAnsi" w:hAnsiTheme="majorHAnsi" w:eastAsiaTheme="majorEastAsia" w:cstheme="majorBidi"/>
      <w:color w:val="104862" w:themeColor="accent1" w:themeShade="BF"/>
      <w:sz w:val="48"/>
      <w:szCs w:val="48"/>
      <w14:ligatures w14:val="standardContextual"/>
    </w:rPr>
  </w:style>
  <w:style w:type="paragraph" w:styleId="3">
    <w:name w:val="heading 2"/>
    <w:basedOn w:val="1"/>
    <w:next w:val="1"/>
    <w:link w:val="18"/>
    <w:semiHidden/>
    <w:unhideWhenUsed/>
    <w:qFormat/>
    <w:uiPriority w:val="9"/>
    <w:pPr>
      <w:keepNext/>
      <w:keepLines/>
      <w:spacing w:before="160" w:after="80" w:line="278" w:lineRule="auto"/>
      <w:jc w:val="left"/>
      <w:outlineLvl w:val="1"/>
    </w:pPr>
    <w:rPr>
      <w:rFonts w:asciiTheme="majorHAnsi" w:hAnsiTheme="majorHAnsi" w:eastAsiaTheme="majorEastAsia" w:cstheme="majorBidi"/>
      <w:color w:val="104862" w:themeColor="accent1" w:themeShade="BF"/>
      <w:sz w:val="40"/>
      <w:szCs w:val="40"/>
      <w14:ligatures w14:val="standardContextual"/>
    </w:rPr>
  </w:style>
  <w:style w:type="paragraph" w:styleId="4">
    <w:name w:val="heading 3"/>
    <w:basedOn w:val="1"/>
    <w:next w:val="1"/>
    <w:link w:val="19"/>
    <w:semiHidden/>
    <w:unhideWhenUsed/>
    <w:qFormat/>
    <w:uiPriority w:val="9"/>
    <w:pPr>
      <w:keepNext/>
      <w:keepLines/>
      <w:spacing w:before="160" w:after="80" w:line="278" w:lineRule="auto"/>
      <w:jc w:val="left"/>
      <w:outlineLvl w:val="2"/>
    </w:pPr>
    <w:rPr>
      <w:rFonts w:asciiTheme="majorHAnsi" w:hAnsiTheme="majorHAnsi" w:eastAsiaTheme="majorEastAsia" w:cstheme="majorBidi"/>
      <w:color w:val="104862" w:themeColor="accent1" w:themeShade="BF"/>
      <w:sz w:val="32"/>
      <w:szCs w:val="32"/>
      <w14:ligatures w14:val="standardContextual"/>
    </w:rPr>
  </w:style>
  <w:style w:type="paragraph" w:styleId="5">
    <w:name w:val="heading 4"/>
    <w:basedOn w:val="1"/>
    <w:next w:val="1"/>
    <w:link w:val="20"/>
    <w:semiHidden/>
    <w:unhideWhenUsed/>
    <w:qFormat/>
    <w:uiPriority w:val="9"/>
    <w:pPr>
      <w:keepNext/>
      <w:keepLines/>
      <w:spacing w:before="80" w:after="40" w:line="278" w:lineRule="auto"/>
      <w:jc w:val="left"/>
      <w:outlineLvl w:val="3"/>
    </w:pPr>
    <w:rPr>
      <w:rFonts w:asciiTheme="minorHAnsi" w:hAnsiTheme="minorHAnsi" w:eastAsiaTheme="minorEastAsia" w:cstheme="majorBidi"/>
      <w:color w:val="104862" w:themeColor="accent1" w:themeShade="BF"/>
      <w:sz w:val="28"/>
      <w:szCs w:val="28"/>
      <w14:ligatures w14:val="standardContextual"/>
    </w:rPr>
  </w:style>
  <w:style w:type="paragraph" w:styleId="6">
    <w:name w:val="heading 5"/>
    <w:basedOn w:val="1"/>
    <w:next w:val="1"/>
    <w:link w:val="21"/>
    <w:semiHidden/>
    <w:unhideWhenUsed/>
    <w:qFormat/>
    <w:uiPriority w:val="9"/>
    <w:pPr>
      <w:keepNext/>
      <w:keepLines/>
      <w:spacing w:before="80" w:after="40" w:line="278" w:lineRule="auto"/>
      <w:jc w:val="left"/>
      <w:outlineLvl w:val="4"/>
    </w:pPr>
    <w:rPr>
      <w:rFonts w:asciiTheme="minorHAnsi" w:hAnsiTheme="minorHAnsi" w:eastAsiaTheme="minorEastAsia" w:cstheme="majorBidi"/>
      <w:color w:val="104862" w:themeColor="accent1" w:themeShade="BF"/>
      <w:sz w:val="24"/>
      <w14:ligatures w14:val="standardContextual"/>
    </w:rPr>
  </w:style>
  <w:style w:type="paragraph" w:styleId="7">
    <w:name w:val="heading 6"/>
    <w:basedOn w:val="1"/>
    <w:next w:val="1"/>
    <w:link w:val="22"/>
    <w:semiHidden/>
    <w:unhideWhenUsed/>
    <w:qFormat/>
    <w:uiPriority w:val="9"/>
    <w:pPr>
      <w:keepNext/>
      <w:keepLines/>
      <w:spacing w:before="40" w:line="278" w:lineRule="auto"/>
      <w:jc w:val="left"/>
      <w:outlineLvl w:val="5"/>
    </w:pPr>
    <w:rPr>
      <w:rFonts w:asciiTheme="minorHAnsi" w:hAnsiTheme="minorHAnsi" w:eastAsiaTheme="minorEastAsia" w:cstheme="majorBidi"/>
      <w:b/>
      <w:bCs/>
      <w:color w:val="104862" w:themeColor="accent1" w:themeShade="BF"/>
      <w:sz w:val="22"/>
      <w14:ligatures w14:val="standardContextual"/>
    </w:rPr>
  </w:style>
  <w:style w:type="paragraph" w:styleId="8">
    <w:name w:val="heading 7"/>
    <w:basedOn w:val="1"/>
    <w:next w:val="1"/>
    <w:link w:val="23"/>
    <w:semiHidden/>
    <w:unhideWhenUsed/>
    <w:qFormat/>
    <w:uiPriority w:val="9"/>
    <w:pPr>
      <w:keepNext/>
      <w:keepLines/>
      <w:spacing w:before="40" w:line="278" w:lineRule="auto"/>
      <w:jc w:val="left"/>
      <w:outlineLvl w:val="6"/>
    </w:pPr>
    <w:rPr>
      <w:rFonts w:asciiTheme="minorHAnsi" w:hAnsiTheme="minorHAnsi" w:eastAsiaTheme="minorEastAsia" w:cstheme="majorBidi"/>
      <w:b/>
      <w:bCs/>
      <w:color w:val="595959" w:themeColor="text1" w:themeTint="A6"/>
      <w:sz w:val="22"/>
      <w14:textFill>
        <w14:solidFill>
          <w14:schemeClr w14:val="tx1">
            <w14:lumMod w14:val="65000"/>
            <w14:lumOff w14:val="35000"/>
          </w14:schemeClr>
        </w14:solidFill>
      </w14:textFill>
      <w14:ligatures w14:val="standardContextual"/>
    </w:rPr>
  </w:style>
  <w:style w:type="paragraph" w:styleId="9">
    <w:name w:val="heading 8"/>
    <w:basedOn w:val="1"/>
    <w:next w:val="1"/>
    <w:link w:val="24"/>
    <w:semiHidden/>
    <w:unhideWhenUsed/>
    <w:qFormat/>
    <w:uiPriority w:val="9"/>
    <w:pPr>
      <w:keepNext/>
      <w:keepLines/>
      <w:spacing w:line="278" w:lineRule="auto"/>
      <w:jc w:val="left"/>
      <w:outlineLvl w:val="7"/>
    </w:pPr>
    <w:rPr>
      <w:rFonts w:asciiTheme="minorHAnsi" w:hAnsiTheme="minorHAnsi" w:eastAsiaTheme="minorEastAsia" w:cstheme="majorBidi"/>
      <w:color w:val="595959" w:themeColor="text1" w:themeTint="A6"/>
      <w:sz w:val="22"/>
      <w14:textFill>
        <w14:solidFill>
          <w14:schemeClr w14:val="tx1">
            <w14:lumMod w14:val="65000"/>
            <w14:lumOff w14:val="35000"/>
          </w14:schemeClr>
        </w14:solidFill>
      </w14:textFill>
      <w14:ligatures w14:val="standardContextual"/>
    </w:rPr>
  </w:style>
  <w:style w:type="paragraph" w:styleId="10">
    <w:name w:val="heading 9"/>
    <w:basedOn w:val="1"/>
    <w:next w:val="1"/>
    <w:link w:val="25"/>
    <w:semiHidden/>
    <w:unhideWhenUsed/>
    <w:qFormat/>
    <w:uiPriority w:val="9"/>
    <w:pPr>
      <w:keepNext/>
      <w:keepLines/>
      <w:spacing w:line="278" w:lineRule="auto"/>
      <w:jc w:val="left"/>
      <w:outlineLvl w:val="8"/>
    </w:pPr>
    <w:rPr>
      <w:rFonts w:asciiTheme="minorHAnsi" w:hAnsiTheme="minorHAnsi" w:eastAsiaTheme="majorEastAsia" w:cstheme="majorBidi"/>
      <w:color w:val="595959" w:themeColor="text1" w:themeTint="A6"/>
      <w:sz w:val="22"/>
      <w14:textFill>
        <w14:solidFill>
          <w14:schemeClr w14:val="tx1">
            <w14:lumMod w14:val="65000"/>
            <w14:lumOff w14:val="35000"/>
          </w14:schemeClr>
        </w14:solidFill>
      </w14:textFill>
      <w14:ligatures w14:val="standardContextual"/>
    </w:rPr>
  </w:style>
  <w:style w:type="character" w:default="1" w:styleId="16">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11">
    <w:name w:val="footer"/>
    <w:basedOn w:val="1"/>
    <w:link w:val="36"/>
    <w:unhideWhenUsed/>
    <w:uiPriority w:val="99"/>
    <w:pPr>
      <w:tabs>
        <w:tab w:val="center" w:pos="4153"/>
        <w:tab w:val="right" w:pos="8306"/>
      </w:tabs>
      <w:snapToGrid w:val="0"/>
      <w:jc w:val="left"/>
    </w:pPr>
    <w:rPr>
      <w:sz w:val="18"/>
      <w:szCs w:val="18"/>
    </w:rPr>
  </w:style>
  <w:style w:type="paragraph" w:styleId="12">
    <w:name w:val="header"/>
    <w:basedOn w:val="1"/>
    <w:link w:val="35"/>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line="278" w:lineRule="auto"/>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14:ligatures w14:val="standardContextua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14:ligatures w14:val="standardContextual"/>
    </w:rPr>
  </w:style>
  <w:style w:type="character" w:customStyle="1" w:styleId="17">
    <w:name w:val="标题 1 字符"/>
    <w:basedOn w:val="16"/>
    <w:link w:val="2"/>
    <w:qFormat/>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6"/>
    <w:link w:val="3"/>
    <w:semiHidden/>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6"/>
    <w:link w:val="4"/>
    <w:semiHidden/>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6"/>
    <w:link w:val="5"/>
    <w:semiHidden/>
    <w:uiPriority w:val="9"/>
    <w:rPr>
      <w:rFonts w:cstheme="majorBidi"/>
      <w:color w:val="104862" w:themeColor="accent1" w:themeShade="BF"/>
      <w:sz w:val="28"/>
      <w:szCs w:val="28"/>
    </w:rPr>
  </w:style>
  <w:style w:type="character" w:customStyle="1" w:styleId="21">
    <w:name w:val="标题 5 字符"/>
    <w:basedOn w:val="16"/>
    <w:link w:val="6"/>
    <w:semiHidden/>
    <w:qFormat/>
    <w:uiPriority w:val="9"/>
    <w:rPr>
      <w:rFonts w:cstheme="majorBidi"/>
      <w:color w:val="104862" w:themeColor="accent1" w:themeShade="BF"/>
      <w:sz w:val="24"/>
    </w:rPr>
  </w:style>
  <w:style w:type="character" w:customStyle="1" w:styleId="22">
    <w:name w:val="标题 6 字符"/>
    <w:basedOn w:val="16"/>
    <w:link w:val="7"/>
    <w:semiHidden/>
    <w:qFormat/>
    <w:uiPriority w:val="9"/>
    <w:rPr>
      <w:rFonts w:cstheme="majorBidi"/>
      <w:b/>
      <w:bCs/>
      <w:color w:val="104862" w:themeColor="accent1" w:themeShade="BF"/>
    </w:rPr>
  </w:style>
  <w:style w:type="character" w:customStyle="1" w:styleId="23">
    <w:name w:val="标题 7 字符"/>
    <w:basedOn w:val="16"/>
    <w:link w:val="8"/>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line="278" w:lineRule="auto"/>
      <w:jc w:val="center"/>
    </w:pPr>
    <w:rPr>
      <w:rFonts w:asciiTheme="minorHAnsi" w:hAnsiTheme="minorHAnsi" w:eastAsiaTheme="minorEastAsia" w:cstheme="minorBidi"/>
      <w:i/>
      <w:iCs/>
      <w:color w:val="404040" w:themeColor="text1" w:themeTint="BF"/>
      <w:sz w:val="22"/>
      <w14:textFill>
        <w14:solidFill>
          <w14:schemeClr w14:val="tx1">
            <w14:lumMod w14:val="75000"/>
            <w14:lumOff w14:val="25000"/>
          </w14:schemeClr>
        </w14:solidFill>
      </w14:textFill>
      <w14:ligatures w14:val="standardContextua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spacing w:after="160" w:line="278" w:lineRule="auto"/>
      <w:ind w:left="720"/>
      <w:contextualSpacing/>
      <w:jc w:val="left"/>
    </w:pPr>
    <w:rPr>
      <w:rFonts w:asciiTheme="minorHAnsi" w:hAnsiTheme="minorHAnsi" w:eastAsiaTheme="minorEastAsia" w:cstheme="minorBidi"/>
      <w:sz w:val="22"/>
      <w14:ligatures w14:val="standardContextual"/>
    </w:rPr>
  </w:style>
  <w:style w:type="character" w:customStyle="1" w:styleId="31">
    <w:name w:val="Intense Emphasis"/>
    <w:basedOn w:val="16"/>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line="278" w:lineRule="auto"/>
      <w:ind w:left="864" w:right="864"/>
      <w:jc w:val="center"/>
    </w:pPr>
    <w:rPr>
      <w:rFonts w:asciiTheme="minorHAnsi" w:hAnsiTheme="minorHAnsi" w:eastAsiaTheme="minorEastAsia" w:cstheme="minorBidi"/>
      <w:i/>
      <w:iCs/>
      <w:color w:val="104862" w:themeColor="accent1" w:themeShade="BF"/>
      <w:sz w:val="22"/>
      <w14:ligatures w14:val="standardContextual"/>
    </w:rPr>
  </w:style>
  <w:style w:type="character" w:customStyle="1" w:styleId="33">
    <w:name w:val="明显引用 字符"/>
    <w:basedOn w:val="16"/>
    <w:link w:val="32"/>
    <w:qFormat/>
    <w:uiPriority w:val="30"/>
    <w:rPr>
      <w:i/>
      <w:iCs/>
      <w:color w:val="104862" w:themeColor="accent1" w:themeShade="BF"/>
    </w:rPr>
  </w:style>
  <w:style w:type="character" w:customStyle="1" w:styleId="34">
    <w:name w:val="Intense Reference"/>
    <w:basedOn w:val="16"/>
    <w:qFormat/>
    <w:uiPriority w:val="32"/>
    <w:rPr>
      <w:b/>
      <w:bCs/>
      <w:smallCaps/>
      <w:color w:val="104862" w:themeColor="accent1" w:themeShade="BF"/>
      <w:spacing w:val="5"/>
    </w:rPr>
  </w:style>
  <w:style w:type="character" w:customStyle="1" w:styleId="35">
    <w:name w:val="页眉 字符"/>
    <w:basedOn w:val="16"/>
    <w:link w:val="12"/>
    <w:qFormat/>
    <w:uiPriority w:val="99"/>
    <w:rPr>
      <w:rFonts w:ascii="Times New Roman" w:hAnsi="Times New Roman" w:eastAsia="宋体" w:cs="Times New Roman"/>
      <w:sz w:val="18"/>
      <w:szCs w:val="18"/>
      <w14:ligatures w14:val="none"/>
    </w:rPr>
  </w:style>
  <w:style w:type="character" w:customStyle="1" w:styleId="36">
    <w:name w:val="页脚 字符"/>
    <w:basedOn w:val="16"/>
    <w:link w:val="11"/>
    <w:uiPriority w:val="99"/>
    <w:rPr>
      <w:rFonts w:ascii="Times New Roman" w:hAnsi="Times New Roman" w:eastAsia="宋体" w:cs="Times New Roman"/>
      <w:sz w:val="18"/>
      <w:szCs w:val="18"/>
      <w14:ligatures w14: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4163</Words>
  <Characters>4421</Characters>
  <Lines>33</Lines>
  <Paragraphs>9</Paragraphs>
  <TotalTime>0</TotalTime>
  <ScaleCrop>false</ScaleCrop>
  <LinksUpToDate>false</LinksUpToDate>
  <CharactersWithSpaces>4504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2024-06-08T08:30:00Z</dcterms:created>
  <dc:creator>BIN OU</dc:creator>
  <cp:lastModifiedBy>Administrator</cp:lastModifiedBy>
  <dcterms:modified xsi:type="dcterms:W3CDTF">2025-04-14T13:21:21Z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eyJoZGlkIjoiOWZlODEwZWJhNzJhNzJlM2YxNDhkYzgzNzEwNmVhMDciLCJ1c2VySWQiOiIyMzc5MjYzMzUifQ==</vt:lpwstr>
  </property>
  <property fmtid="{D5CDD505-2E9C-101B-9397-08002B2CF9AE}" pid="3" name="KSOProductBuildVer">
    <vt:lpwstr>2052-12.1.0.20784</vt:lpwstr>
  </property>
  <property fmtid="{D5CDD505-2E9C-101B-9397-08002B2CF9AE}" pid="4" name="ICV">
    <vt:lpwstr>99E4AB05D3904009AAB6829DDB878A0E_12</vt:lpwstr>
  </property>
</Properties>
</file>